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69" w:rsidRPr="00653FE9" w:rsidRDefault="00A53025" w:rsidP="00EA7269">
      <w:pPr>
        <w:pStyle w:val="Heading1"/>
        <w:spacing w:line="360" w:lineRule="auto"/>
        <w:jc w:val="right"/>
        <w:rPr>
          <w:color w:val="0000FF"/>
          <w:sz w:val="28"/>
          <w:szCs w:val="28"/>
        </w:rPr>
      </w:pPr>
      <w:bookmarkStart w:id="0" w:name="_GoBack"/>
      <w:bookmarkEnd w:id="0"/>
      <w:r w:rsidRPr="001417C3">
        <w:rPr>
          <w:noProof/>
          <w:color w:val="0000FF"/>
          <w:sz w:val="28"/>
          <w:szCs w:val="28"/>
          <w:lang w:val="en-JM" w:eastAsia="en-JM"/>
        </w:rPr>
        <w:drawing>
          <wp:inline distT="0" distB="0" distL="0" distR="0" wp14:anchorId="204B6963" wp14:editId="0816CAD8">
            <wp:extent cx="5478145" cy="57023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8145" cy="570230"/>
                    </a:xfrm>
                    <a:prstGeom prst="rect">
                      <a:avLst/>
                    </a:prstGeom>
                    <a:noFill/>
                    <a:ln>
                      <a:noFill/>
                    </a:ln>
                  </pic:spPr>
                </pic:pic>
              </a:graphicData>
            </a:graphic>
          </wp:inline>
        </w:drawing>
      </w:r>
      <w:r w:rsidR="00EA7269">
        <w:rPr>
          <w:color w:val="0000FF"/>
          <w:sz w:val="28"/>
          <w:szCs w:val="28"/>
        </w:rPr>
        <w:br/>
      </w:r>
      <w:r w:rsidR="00E7377C">
        <w:rPr>
          <w:bCs w:val="0"/>
          <w:color w:val="0000FF"/>
          <w:sz w:val="22"/>
          <w:szCs w:val="22"/>
          <w:lang w:eastAsia="en-GB"/>
        </w:rPr>
        <w:t>20</w:t>
      </w:r>
      <w:r w:rsidR="00EA7269" w:rsidRPr="006C6F0A">
        <w:rPr>
          <w:bCs w:val="0"/>
          <w:color w:val="0000FF"/>
          <w:sz w:val="22"/>
          <w:szCs w:val="22"/>
          <w:lang w:eastAsia="en-GB"/>
        </w:rPr>
        <w:t xml:space="preserve"> </w:t>
      </w:r>
      <w:r w:rsidR="00E7377C">
        <w:rPr>
          <w:bCs w:val="0"/>
          <w:color w:val="0000FF"/>
          <w:sz w:val="22"/>
          <w:szCs w:val="22"/>
          <w:lang w:eastAsia="en-GB"/>
        </w:rPr>
        <w:t xml:space="preserve">January </w:t>
      </w:r>
      <w:r w:rsidR="00EA7269" w:rsidRPr="006C6F0A">
        <w:rPr>
          <w:bCs w:val="0"/>
          <w:color w:val="0000FF"/>
          <w:sz w:val="22"/>
          <w:szCs w:val="22"/>
          <w:lang w:eastAsia="en-GB"/>
        </w:rPr>
        <w:t>202</w:t>
      </w:r>
      <w:r w:rsidR="00E7377C">
        <w:rPr>
          <w:bCs w:val="0"/>
          <w:color w:val="0000FF"/>
          <w:sz w:val="22"/>
          <w:szCs w:val="22"/>
          <w:lang w:eastAsia="en-GB"/>
        </w:rPr>
        <w:t>1</w:t>
      </w:r>
    </w:p>
    <w:p w:rsidR="001417C3" w:rsidRPr="00E7377C" w:rsidRDefault="00E7377C" w:rsidP="00EA7269">
      <w:pPr>
        <w:autoSpaceDE w:val="0"/>
        <w:autoSpaceDN w:val="0"/>
        <w:adjustRightInd w:val="0"/>
        <w:jc w:val="center"/>
        <w:rPr>
          <w:b/>
          <w:bCs/>
          <w:color w:val="0000FF"/>
          <w:sz w:val="32"/>
          <w:szCs w:val="32"/>
          <w:lang w:eastAsia="en-GB"/>
        </w:rPr>
      </w:pPr>
      <w:r w:rsidRPr="00E7377C">
        <w:rPr>
          <w:b/>
          <w:bCs/>
          <w:color w:val="0000FF"/>
          <w:sz w:val="32"/>
          <w:szCs w:val="32"/>
          <w:lang w:eastAsia="en-GB"/>
        </w:rPr>
        <w:t xml:space="preserve">BOJ </w:t>
      </w:r>
      <w:r w:rsidR="00EA7269" w:rsidRPr="00E7377C">
        <w:rPr>
          <w:b/>
          <w:bCs/>
          <w:color w:val="0000FF"/>
          <w:sz w:val="32"/>
          <w:szCs w:val="32"/>
          <w:lang w:eastAsia="en-GB"/>
        </w:rPr>
        <w:t xml:space="preserve">NEWS RELEASE: </w:t>
      </w:r>
      <w:r w:rsidRPr="00E7377C">
        <w:rPr>
          <w:b/>
          <w:bCs/>
          <w:color w:val="0000FF"/>
          <w:sz w:val="32"/>
          <w:szCs w:val="32"/>
          <w:lang w:eastAsia="en-GB"/>
        </w:rPr>
        <w:t>WHICH INFLATION RATE DOES BOJ TARGET?</w:t>
      </w:r>
    </w:p>
    <w:p w:rsidR="00E7377C" w:rsidRDefault="00E7377C" w:rsidP="00EA7269">
      <w:pPr>
        <w:autoSpaceDE w:val="0"/>
        <w:autoSpaceDN w:val="0"/>
        <w:adjustRightInd w:val="0"/>
        <w:jc w:val="center"/>
        <w:rPr>
          <w:b/>
          <w:bCs/>
          <w:color w:val="0000FF"/>
          <w:sz w:val="36"/>
          <w:szCs w:val="36"/>
          <w:lang w:eastAsia="en-GB"/>
        </w:rPr>
      </w:pPr>
    </w:p>
    <w:p w:rsidR="00E7377C" w:rsidRDefault="00E7377C" w:rsidP="00E7377C">
      <w:pPr>
        <w:jc w:val="both"/>
      </w:pPr>
      <w:r>
        <w:t xml:space="preserve">On Friday, 15 January 2021, the Statistical Institute of Jamaica (STATIN) published its bulletin for the Consumer Price Index for December 2020. In this report, it was noted that, </w:t>
      </w:r>
      <w:r w:rsidRPr="00E7377C">
        <w:t>for</w:t>
      </w:r>
      <w:r w:rsidRPr="00C34CB9">
        <w:rPr>
          <w:b/>
        </w:rPr>
        <w:t xml:space="preserve"> calendar year 2020, </w:t>
      </w:r>
      <w:r w:rsidRPr="00E7377C">
        <w:t>the inflation rate was 6.4 per cent.</w:t>
      </w:r>
    </w:p>
    <w:p w:rsidR="00E7377C" w:rsidRDefault="00E7377C" w:rsidP="00E7377C">
      <w:pPr>
        <w:jc w:val="both"/>
      </w:pPr>
    </w:p>
    <w:p w:rsidR="00464EDC" w:rsidRDefault="00E7377C" w:rsidP="00E7377C">
      <w:pPr>
        <w:jc w:val="both"/>
      </w:pPr>
      <w:r>
        <w:t xml:space="preserve">The same release by STATIN also noted that the </w:t>
      </w:r>
      <w:r w:rsidRPr="00C34CB9">
        <w:rPr>
          <w:b/>
        </w:rPr>
        <w:t>point-to-point inflation rate as at December 2020 was 5.2 per cent.</w:t>
      </w:r>
      <w:r>
        <w:t xml:space="preserve"> </w:t>
      </w:r>
    </w:p>
    <w:p w:rsidR="00464EDC" w:rsidRDefault="00464EDC" w:rsidP="00E7377C">
      <w:pPr>
        <w:jc w:val="both"/>
      </w:pPr>
    </w:p>
    <w:p w:rsidR="00E7377C" w:rsidRDefault="00E7377C" w:rsidP="00E7377C">
      <w:pPr>
        <w:jc w:val="both"/>
      </w:pPr>
      <w:r>
        <w:t xml:space="preserve">The calendar-year measure of inflation </w:t>
      </w:r>
      <w:r w:rsidR="00BB13FB">
        <w:t>reports</w:t>
      </w:r>
      <w:r>
        <w:t xml:space="preserve"> the movement in the CPI as at December 2020 relative to the CPI at January 2020. On the other hand, the point-to-point measure of inflation reports the movement in the CPI as at December 2020, relative to the CPI at December 2019.</w:t>
      </w:r>
      <w:r w:rsidR="00C1545A">
        <w:t xml:space="preserve"> </w:t>
      </w:r>
    </w:p>
    <w:p w:rsidR="00E7377C" w:rsidRDefault="00E7377C" w:rsidP="00E7377C">
      <w:pPr>
        <w:jc w:val="both"/>
      </w:pPr>
    </w:p>
    <w:p w:rsidR="00E7377C" w:rsidRDefault="00E7377C" w:rsidP="00E7377C">
      <w:pPr>
        <w:jc w:val="both"/>
      </w:pPr>
      <w:r>
        <w:t xml:space="preserve">We note that </w:t>
      </w:r>
      <w:r w:rsidR="00E96E8C">
        <w:t xml:space="preserve">it is not normal for these figures for the calendar year inflation versus the point-to-point measure as at December </w:t>
      </w:r>
      <w:r w:rsidR="00312DE4">
        <w:t xml:space="preserve">2020 </w:t>
      </w:r>
      <w:r w:rsidR="00E96E8C">
        <w:t>to be significantly different</w:t>
      </w:r>
      <w:r w:rsidR="00312DE4">
        <w:t>.</w:t>
      </w:r>
      <w:r w:rsidR="00E96E8C">
        <w:t xml:space="preserve"> </w:t>
      </w:r>
      <w:r w:rsidR="00312DE4">
        <w:t>I</w:t>
      </w:r>
      <w:r w:rsidR="00E96E8C">
        <w:t xml:space="preserve">n this case </w:t>
      </w:r>
      <w:r w:rsidR="00312DE4">
        <w:t xml:space="preserve">however, </w:t>
      </w:r>
      <w:r w:rsidR="00E96E8C">
        <w:t xml:space="preserve">the difference between the two numbers reflected the </w:t>
      </w:r>
      <w:r w:rsidR="00E96E8C" w:rsidRPr="00C1545A">
        <w:t xml:space="preserve">timing of shocks </w:t>
      </w:r>
      <w:r w:rsidR="00E96E8C">
        <w:t xml:space="preserve">that </w:t>
      </w:r>
      <w:r w:rsidR="00E96E8C" w:rsidRPr="00C1545A">
        <w:t>affect</w:t>
      </w:r>
      <w:r w:rsidR="00E96E8C">
        <w:t xml:space="preserve">ed </w:t>
      </w:r>
      <w:r w:rsidR="00E96E8C" w:rsidRPr="00C1545A">
        <w:t>the CPI during 2020.</w:t>
      </w:r>
      <w:r w:rsidR="00E96E8C">
        <w:t xml:space="preserve"> In addition, </w:t>
      </w:r>
      <w:r>
        <w:t xml:space="preserve">these </w:t>
      </w:r>
      <w:r w:rsidR="00531997">
        <w:t xml:space="preserve">differences </w:t>
      </w:r>
      <w:r>
        <w:t>ha</w:t>
      </w:r>
      <w:r w:rsidR="00464EDC">
        <w:t>ve</w:t>
      </w:r>
      <w:r>
        <w:t xml:space="preserve"> resulted in some confusion as to whether Bank of Jamaica (BOJ) was successful in meeting its inflation target of 4.0 per cent to 6.0 per cent at December 2020. In fact, some elements of the media have already incorrectly reported </w:t>
      </w:r>
      <w:r w:rsidR="00464EDC">
        <w:t xml:space="preserve">official </w:t>
      </w:r>
      <w:r>
        <w:t>inflation at December to be 6.4 per cent.</w:t>
      </w:r>
    </w:p>
    <w:p w:rsidR="00E7377C" w:rsidRDefault="00E7377C" w:rsidP="00E7377C">
      <w:pPr>
        <w:jc w:val="both"/>
      </w:pPr>
    </w:p>
    <w:p w:rsidR="00E7377C" w:rsidRPr="00E7377C" w:rsidRDefault="00E7377C" w:rsidP="00E7377C">
      <w:pPr>
        <w:jc w:val="both"/>
        <w:rPr>
          <w:b/>
        </w:rPr>
      </w:pPr>
      <w:r w:rsidRPr="00E7377C">
        <w:rPr>
          <w:b/>
        </w:rPr>
        <w:t xml:space="preserve">We therefore wish to clarify </w:t>
      </w:r>
      <w:r w:rsidR="00464EDC">
        <w:rPr>
          <w:b/>
        </w:rPr>
        <w:t xml:space="preserve">and remind </w:t>
      </w:r>
      <w:r w:rsidRPr="00E7377C">
        <w:rPr>
          <w:b/>
        </w:rPr>
        <w:t xml:space="preserve">that the inflation measure by which BOJ’s performance should be judged is the </w:t>
      </w:r>
      <w:r w:rsidRPr="00464EDC">
        <w:rPr>
          <w:b/>
          <w:u w:val="single"/>
        </w:rPr>
        <w:t>annual point-to-point</w:t>
      </w:r>
      <w:r w:rsidRPr="00E7377C">
        <w:rPr>
          <w:b/>
        </w:rPr>
        <w:t xml:space="preserve"> as at December and </w:t>
      </w:r>
      <w:r w:rsidRPr="00E7377C">
        <w:rPr>
          <w:b/>
          <w:u w:val="single"/>
        </w:rPr>
        <w:t>not</w:t>
      </w:r>
      <w:r w:rsidRPr="00E7377C">
        <w:rPr>
          <w:b/>
        </w:rPr>
        <w:t xml:space="preserve"> the calendar year or any other measure. </w:t>
      </w:r>
    </w:p>
    <w:p w:rsidR="00E7377C" w:rsidRDefault="00E7377C" w:rsidP="00E7377C">
      <w:pPr>
        <w:jc w:val="both"/>
      </w:pPr>
    </w:p>
    <w:p w:rsidR="00E7377C" w:rsidRDefault="00E7377C" w:rsidP="00E7377C">
      <w:pPr>
        <w:jc w:val="both"/>
      </w:pPr>
      <w:r>
        <w:t>This measure is stated in the soon-to-be gazetted law amending the Bank of Jamaica Act, which was passed by the both Houses of Parliament in December 2020. Section 34FF(4) of the law specifies that “</w:t>
      </w:r>
      <w:r w:rsidRPr="00C34CB9">
        <w:rPr>
          <w:i/>
        </w:rPr>
        <w:t>the target measure applicable for inflation shall be the annual point to point change in the Consumer Price Index as measured by the Statistical Institute of Jamaica</w:t>
      </w:r>
      <w:r>
        <w:t xml:space="preserve">”. </w:t>
      </w:r>
    </w:p>
    <w:p w:rsidR="00E7377C" w:rsidRDefault="00E7377C" w:rsidP="00E7377C">
      <w:pPr>
        <w:jc w:val="both"/>
      </w:pPr>
    </w:p>
    <w:p w:rsidR="00E7377C" w:rsidRDefault="00E7377C" w:rsidP="00E7377C">
      <w:pPr>
        <w:jc w:val="both"/>
      </w:pPr>
      <w:r>
        <w:t xml:space="preserve">Since 2017, Bank of Jamaica has been charged by the Minister of Finance and the Public Service with a target range for the 12-month point to point inflation rate of 4 – 6 per cent. </w:t>
      </w:r>
    </w:p>
    <w:p w:rsidR="00E7377C" w:rsidRDefault="00E7377C" w:rsidP="00E7377C">
      <w:pPr>
        <w:jc w:val="both"/>
      </w:pPr>
    </w:p>
    <w:p w:rsidR="00E7377C" w:rsidRDefault="00E7377C" w:rsidP="00E7377C">
      <w:pPr>
        <w:jc w:val="both"/>
      </w:pPr>
      <w:r>
        <w:t xml:space="preserve">Despite continued challenges of weather-related agricultural price fluctuations, BOJ has been fairly successful in maintaining inflation within the 4 to 6 per cent corridor. During the past 36 months leading up to December 2020, inflation has surpassed the upper limit of the target on just two occasions, in December 2019 and June 2020. This represents a 94 per cent success rate in keeping inflation below 6.0 per cent. </w:t>
      </w:r>
    </w:p>
    <w:p w:rsidR="00E7377C" w:rsidRDefault="00E7377C" w:rsidP="00E7377C">
      <w:pPr>
        <w:jc w:val="both"/>
      </w:pPr>
    </w:p>
    <w:p w:rsidR="00E7377C" w:rsidRDefault="00E7377C" w:rsidP="00E7377C">
      <w:pPr>
        <w:jc w:val="both"/>
      </w:pPr>
      <w:r>
        <w:lastRenderedPageBreak/>
        <w:t xml:space="preserve">The reason for inflation going above target on those two occasions was related to temporary increases in agricultural prices due to either droughts or floods. On the flip side, there have been 13 occasions over the past 36 months when inflation fell below the 4.0 lower limit of the inflation target. Again, these events were largely associated with volatility in agricultural supplies and prices as well as declines in international oil prices which influenced reductions in electricity and transport-related costs. </w:t>
      </w:r>
    </w:p>
    <w:p w:rsidR="00E7377C" w:rsidRDefault="00E7377C" w:rsidP="00E7377C">
      <w:pPr>
        <w:jc w:val="both"/>
      </w:pPr>
    </w:p>
    <w:p w:rsidR="002E4495" w:rsidRDefault="00E7377C" w:rsidP="00E7377C">
      <w:pPr>
        <w:jc w:val="both"/>
      </w:pPr>
      <w:r>
        <w:t xml:space="preserve">Bank of Jamaica remains committed to its primary objective of keeping inflation low, stable and predictable within its inflation target. </w:t>
      </w:r>
    </w:p>
    <w:p w:rsidR="00464EDC" w:rsidRDefault="00464EDC" w:rsidP="00E7377C">
      <w:pPr>
        <w:jc w:val="both"/>
      </w:pPr>
    </w:p>
    <w:p w:rsidR="00464EDC" w:rsidRDefault="00464EDC" w:rsidP="00E7377C">
      <w:pPr>
        <w:jc w:val="both"/>
      </w:pPr>
      <w:r>
        <w:t>For more information on inflation, please follow our Twitter, Facebook, and YouTube accounts and pay attention to our news releases.</w:t>
      </w:r>
    </w:p>
    <w:p w:rsidR="002E4495" w:rsidRDefault="002E4495" w:rsidP="00E7377C">
      <w:pPr>
        <w:jc w:val="both"/>
      </w:pPr>
    </w:p>
    <w:p w:rsidR="00E7377C" w:rsidRDefault="002E4495" w:rsidP="002E4495">
      <w:pPr>
        <w:jc w:val="center"/>
      </w:pPr>
      <w:r>
        <w:t>-30-</w:t>
      </w:r>
    </w:p>
    <w:p w:rsidR="00E7377C" w:rsidRDefault="00E7377C" w:rsidP="00E7377C">
      <w:pPr>
        <w:jc w:val="both"/>
      </w:pPr>
    </w:p>
    <w:p w:rsidR="00E7377C" w:rsidRDefault="00E7377C" w:rsidP="00E7377C">
      <w:r>
        <w:t xml:space="preserve">   </w:t>
      </w:r>
    </w:p>
    <w:p w:rsidR="00E7377C" w:rsidRPr="00653FE9" w:rsidRDefault="00E7377C" w:rsidP="00E7377C">
      <w:pPr>
        <w:autoSpaceDE w:val="0"/>
        <w:autoSpaceDN w:val="0"/>
        <w:adjustRightInd w:val="0"/>
        <w:rPr>
          <w:b/>
          <w:bCs/>
          <w:color w:val="0000FF"/>
          <w:sz w:val="36"/>
          <w:szCs w:val="36"/>
          <w:lang w:eastAsia="en-GB"/>
        </w:rPr>
      </w:pPr>
    </w:p>
    <w:p w:rsidR="007326A1" w:rsidRPr="00653FE9" w:rsidRDefault="007326A1" w:rsidP="007326A1"/>
    <w:sectPr w:rsidR="007326A1" w:rsidRPr="00653FE9" w:rsidSect="00DE1CDD">
      <w:footerReference w:type="default" r:id="rId10"/>
      <w:pgSz w:w="12240" w:h="15840"/>
      <w:pgMar w:top="993"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565" w:rsidRDefault="00586565">
      <w:r>
        <w:separator/>
      </w:r>
    </w:p>
  </w:endnote>
  <w:endnote w:type="continuationSeparator" w:id="0">
    <w:p w:rsidR="00586565" w:rsidRDefault="0058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699" w:rsidRDefault="00BC2699">
    <w:pPr>
      <w:pStyle w:val="Footer"/>
      <w:jc w:val="right"/>
    </w:pPr>
    <w:r>
      <w:fldChar w:fldCharType="begin"/>
    </w:r>
    <w:r>
      <w:instrText xml:space="preserve"> PAGE   \* MERGEFORMAT </w:instrText>
    </w:r>
    <w:r>
      <w:fldChar w:fldCharType="separate"/>
    </w:r>
    <w:r w:rsidR="00B60D50">
      <w:rPr>
        <w:noProof/>
      </w:rPr>
      <w:t>2</w:t>
    </w:r>
    <w:r>
      <w:rPr>
        <w:noProof/>
      </w:rPr>
      <w:fldChar w:fldCharType="end"/>
    </w:r>
  </w:p>
  <w:p w:rsidR="00BC2699" w:rsidRDefault="00BC2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565" w:rsidRDefault="00586565">
      <w:r>
        <w:separator/>
      </w:r>
    </w:p>
  </w:footnote>
  <w:footnote w:type="continuationSeparator" w:id="0">
    <w:p w:rsidR="00586565" w:rsidRDefault="00586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27FDE"/>
    <w:multiLevelType w:val="hybridMultilevel"/>
    <w:tmpl w:val="9240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52D"/>
    <w:rsid w:val="000146F8"/>
    <w:rsid w:val="0002106E"/>
    <w:rsid w:val="0002163D"/>
    <w:rsid w:val="00021F9E"/>
    <w:rsid w:val="00022431"/>
    <w:rsid w:val="00022CF3"/>
    <w:rsid w:val="000345A9"/>
    <w:rsid w:val="00036D95"/>
    <w:rsid w:val="00044C04"/>
    <w:rsid w:val="00047BD2"/>
    <w:rsid w:val="000534C2"/>
    <w:rsid w:val="00053A83"/>
    <w:rsid w:val="000606B3"/>
    <w:rsid w:val="00064548"/>
    <w:rsid w:val="000722E8"/>
    <w:rsid w:val="00073D80"/>
    <w:rsid w:val="00073F49"/>
    <w:rsid w:val="0007661D"/>
    <w:rsid w:val="0008022C"/>
    <w:rsid w:val="00081CA7"/>
    <w:rsid w:val="00093181"/>
    <w:rsid w:val="000964D0"/>
    <w:rsid w:val="000A20FD"/>
    <w:rsid w:val="000A6670"/>
    <w:rsid w:val="000C3163"/>
    <w:rsid w:val="000D0BC6"/>
    <w:rsid w:val="000D13F8"/>
    <w:rsid w:val="000D2E56"/>
    <w:rsid w:val="000D34EF"/>
    <w:rsid w:val="000D46F9"/>
    <w:rsid w:val="000D51E0"/>
    <w:rsid w:val="000E1DFF"/>
    <w:rsid w:val="000E3730"/>
    <w:rsid w:val="000E55E5"/>
    <w:rsid w:val="000E7A11"/>
    <w:rsid w:val="000F0E9E"/>
    <w:rsid w:val="000F63B1"/>
    <w:rsid w:val="00100325"/>
    <w:rsid w:val="00103883"/>
    <w:rsid w:val="0010708B"/>
    <w:rsid w:val="001125F7"/>
    <w:rsid w:val="00113451"/>
    <w:rsid w:val="0011681F"/>
    <w:rsid w:val="00135218"/>
    <w:rsid w:val="001417C3"/>
    <w:rsid w:val="00141BDC"/>
    <w:rsid w:val="00142DF9"/>
    <w:rsid w:val="00145B48"/>
    <w:rsid w:val="00146B8D"/>
    <w:rsid w:val="001475EA"/>
    <w:rsid w:val="0015456F"/>
    <w:rsid w:val="00154A64"/>
    <w:rsid w:val="00155283"/>
    <w:rsid w:val="00167713"/>
    <w:rsid w:val="00170D11"/>
    <w:rsid w:val="0017275B"/>
    <w:rsid w:val="00175E97"/>
    <w:rsid w:val="00177C7A"/>
    <w:rsid w:val="001856CF"/>
    <w:rsid w:val="0019711B"/>
    <w:rsid w:val="001B0E13"/>
    <w:rsid w:val="001B20DD"/>
    <w:rsid w:val="001B4F78"/>
    <w:rsid w:val="001B7963"/>
    <w:rsid w:val="001C1CBC"/>
    <w:rsid w:val="001D08A0"/>
    <w:rsid w:val="001E21FC"/>
    <w:rsid w:val="001F0BAC"/>
    <w:rsid w:val="00200569"/>
    <w:rsid w:val="00200810"/>
    <w:rsid w:val="00212753"/>
    <w:rsid w:val="00233E41"/>
    <w:rsid w:val="00234AD8"/>
    <w:rsid w:val="00236328"/>
    <w:rsid w:val="00240D52"/>
    <w:rsid w:val="0024398B"/>
    <w:rsid w:val="00245430"/>
    <w:rsid w:val="00246272"/>
    <w:rsid w:val="0026120A"/>
    <w:rsid w:val="00262B54"/>
    <w:rsid w:val="00262CD8"/>
    <w:rsid w:val="002676FD"/>
    <w:rsid w:val="0027093A"/>
    <w:rsid w:val="00272D46"/>
    <w:rsid w:val="002730C3"/>
    <w:rsid w:val="00277C2D"/>
    <w:rsid w:val="002808AD"/>
    <w:rsid w:val="00283CFB"/>
    <w:rsid w:val="002922DC"/>
    <w:rsid w:val="0029403E"/>
    <w:rsid w:val="002A5A30"/>
    <w:rsid w:val="002A61CE"/>
    <w:rsid w:val="002B62B9"/>
    <w:rsid w:val="002C063C"/>
    <w:rsid w:val="002C4146"/>
    <w:rsid w:val="002C4FCA"/>
    <w:rsid w:val="002C647F"/>
    <w:rsid w:val="002C6758"/>
    <w:rsid w:val="002C79DF"/>
    <w:rsid w:val="002D5453"/>
    <w:rsid w:val="002D7451"/>
    <w:rsid w:val="002E4495"/>
    <w:rsid w:val="002E6AEA"/>
    <w:rsid w:val="002F09F0"/>
    <w:rsid w:val="002F2143"/>
    <w:rsid w:val="002F37D7"/>
    <w:rsid w:val="00300C91"/>
    <w:rsid w:val="00303412"/>
    <w:rsid w:val="003053E6"/>
    <w:rsid w:val="00312DE4"/>
    <w:rsid w:val="00317FC3"/>
    <w:rsid w:val="00325964"/>
    <w:rsid w:val="00326CE9"/>
    <w:rsid w:val="00330897"/>
    <w:rsid w:val="00332322"/>
    <w:rsid w:val="003355AD"/>
    <w:rsid w:val="003357C4"/>
    <w:rsid w:val="0034192F"/>
    <w:rsid w:val="00342BDC"/>
    <w:rsid w:val="003531EB"/>
    <w:rsid w:val="00356366"/>
    <w:rsid w:val="00357637"/>
    <w:rsid w:val="00363165"/>
    <w:rsid w:val="00365E4A"/>
    <w:rsid w:val="00367F1E"/>
    <w:rsid w:val="003727AB"/>
    <w:rsid w:val="00375B0C"/>
    <w:rsid w:val="00386664"/>
    <w:rsid w:val="003A3582"/>
    <w:rsid w:val="003A53E2"/>
    <w:rsid w:val="003B4123"/>
    <w:rsid w:val="003B6537"/>
    <w:rsid w:val="003B735B"/>
    <w:rsid w:val="003C2E67"/>
    <w:rsid w:val="003C795D"/>
    <w:rsid w:val="003C7C6F"/>
    <w:rsid w:val="003D0CD6"/>
    <w:rsid w:val="003D3B81"/>
    <w:rsid w:val="003D5C1D"/>
    <w:rsid w:val="003E277E"/>
    <w:rsid w:val="003E2A62"/>
    <w:rsid w:val="003E3376"/>
    <w:rsid w:val="003E793B"/>
    <w:rsid w:val="003F23BD"/>
    <w:rsid w:val="003F6D7A"/>
    <w:rsid w:val="004026B0"/>
    <w:rsid w:val="004101C4"/>
    <w:rsid w:val="004103FA"/>
    <w:rsid w:val="00424872"/>
    <w:rsid w:val="00430D47"/>
    <w:rsid w:val="00431BAC"/>
    <w:rsid w:val="00440CA6"/>
    <w:rsid w:val="00443865"/>
    <w:rsid w:val="00451D1E"/>
    <w:rsid w:val="00453936"/>
    <w:rsid w:val="00456193"/>
    <w:rsid w:val="004611E7"/>
    <w:rsid w:val="00461C3A"/>
    <w:rsid w:val="00464EDC"/>
    <w:rsid w:val="00464F01"/>
    <w:rsid w:val="004662CC"/>
    <w:rsid w:val="00471F11"/>
    <w:rsid w:val="00474449"/>
    <w:rsid w:val="00476244"/>
    <w:rsid w:val="00494084"/>
    <w:rsid w:val="0049493F"/>
    <w:rsid w:val="00495178"/>
    <w:rsid w:val="004A3454"/>
    <w:rsid w:val="004A710E"/>
    <w:rsid w:val="004B4DE9"/>
    <w:rsid w:val="004B7ECB"/>
    <w:rsid w:val="004C085C"/>
    <w:rsid w:val="004C0BB0"/>
    <w:rsid w:val="004D3E78"/>
    <w:rsid w:val="004E346E"/>
    <w:rsid w:val="004E5D43"/>
    <w:rsid w:val="004E70CF"/>
    <w:rsid w:val="004F578D"/>
    <w:rsid w:val="004F795A"/>
    <w:rsid w:val="00500BA4"/>
    <w:rsid w:val="00506B8A"/>
    <w:rsid w:val="0051015B"/>
    <w:rsid w:val="00511173"/>
    <w:rsid w:val="00515299"/>
    <w:rsid w:val="0051662E"/>
    <w:rsid w:val="00516E6D"/>
    <w:rsid w:val="00523A11"/>
    <w:rsid w:val="00525D2E"/>
    <w:rsid w:val="00531997"/>
    <w:rsid w:val="0053273B"/>
    <w:rsid w:val="00533D6C"/>
    <w:rsid w:val="00542D7F"/>
    <w:rsid w:val="00545839"/>
    <w:rsid w:val="0055228E"/>
    <w:rsid w:val="00555BD9"/>
    <w:rsid w:val="005657DE"/>
    <w:rsid w:val="0057094C"/>
    <w:rsid w:val="00573E9F"/>
    <w:rsid w:val="00576954"/>
    <w:rsid w:val="005815D0"/>
    <w:rsid w:val="00581B0D"/>
    <w:rsid w:val="00582B0B"/>
    <w:rsid w:val="00586565"/>
    <w:rsid w:val="005944D2"/>
    <w:rsid w:val="0059713D"/>
    <w:rsid w:val="00597917"/>
    <w:rsid w:val="005A00E2"/>
    <w:rsid w:val="005A06F6"/>
    <w:rsid w:val="005A464C"/>
    <w:rsid w:val="005A757C"/>
    <w:rsid w:val="005B2468"/>
    <w:rsid w:val="005B37E4"/>
    <w:rsid w:val="005B63E3"/>
    <w:rsid w:val="005C2A5E"/>
    <w:rsid w:val="005D4D78"/>
    <w:rsid w:val="005D7C8B"/>
    <w:rsid w:val="005E7955"/>
    <w:rsid w:val="005F2E89"/>
    <w:rsid w:val="005F76E5"/>
    <w:rsid w:val="005F7897"/>
    <w:rsid w:val="00603690"/>
    <w:rsid w:val="00605F8B"/>
    <w:rsid w:val="00613205"/>
    <w:rsid w:val="006139AA"/>
    <w:rsid w:val="00613F1B"/>
    <w:rsid w:val="00622C38"/>
    <w:rsid w:val="00623E39"/>
    <w:rsid w:val="00624CB2"/>
    <w:rsid w:val="00630FA6"/>
    <w:rsid w:val="00652497"/>
    <w:rsid w:val="00653FE9"/>
    <w:rsid w:val="006558B8"/>
    <w:rsid w:val="00656166"/>
    <w:rsid w:val="00660337"/>
    <w:rsid w:val="00661E03"/>
    <w:rsid w:val="00661EEC"/>
    <w:rsid w:val="00662D44"/>
    <w:rsid w:val="00663F26"/>
    <w:rsid w:val="00664FF3"/>
    <w:rsid w:val="006717B3"/>
    <w:rsid w:val="00672E74"/>
    <w:rsid w:val="00673A0F"/>
    <w:rsid w:val="006925D5"/>
    <w:rsid w:val="0069413B"/>
    <w:rsid w:val="006942C5"/>
    <w:rsid w:val="00696E58"/>
    <w:rsid w:val="006A55E3"/>
    <w:rsid w:val="006A5F00"/>
    <w:rsid w:val="006B208F"/>
    <w:rsid w:val="006B22A0"/>
    <w:rsid w:val="006B2321"/>
    <w:rsid w:val="006B2450"/>
    <w:rsid w:val="006C43C0"/>
    <w:rsid w:val="006C6F0A"/>
    <w:rsid w:val="006D147D"/>
    <w:rsid w:val="006D2717"/>
    <w:rsid w:val="006D4311"/>
    <w:rsid w:val="006D66B5"/>
    <w:rsid w:val="006F01E6"/>
    <w:rsid w:val="006F2B24"/>
    <w:rsid w:val="006F6AAD"/>
    <w:rsid w:val="0070228A"/>
    <w:rsid w:val="00706F42"/>
    <w:rsid w:val="00707FA9"/>
    <w:rsid w:val="00713B46"/>
    <w:rsid w:val="00716D58"/>
    <w:rsid w:val="007175F3"/>
    <w:rsid w:val="00730D06"/>
    <w:rsid w:val="007326A1"/>
    <w:rsid w:val="007328A5"/>
    <w:rsid w:val="00734D26"/>
    <w:rsid w:val="00734F09"/>
    <w:rsid w:val="00743E53"/>
    <w:rsid w:val="007460E2"/>
    <w:rsid w:val="0074715E"/>
    <w:rsid w:val="007532C4"/>
    <w:rsid w:val="00753F76"/>
    <w:rsid w:val="00764A1C"/>
    <w:rsid w:val="007760E6"/>
    <w:rsid w:val="00776684"/>
    <w:rsid w:val="00776B57"/>
    <w:rsid w:val="007850E3"/>
    <w:rsid w:val="0078715E"/>
    <w:rsid w:val="00790CB6"/>
    <w:rsid w:val="00792B40"/>
    <w:rsid w:val="007B61AD"/>
    <w:rsid w:val="007B713C"/>
    <w:rsid w:val="007C05D9"/>
    <w:rsid w:val="007C1CA5"/>
    <w:rsid w:val="007C449B"/>
    <w:rsid w:val="007C4A80"/>
    <w:rsid w:val="007C62A4"/>
    <w:rsid w:val="007D1304"/>
    <w:rsid w:val="007D2937"/>
    <w:rsid w:val="007D369C"/>
    <w:rsid w:val="007D7DF3"/>
    <w:rsid w:val="007E4E7B"/>
    <w:rsid w:val="007E78E5"/>
    <w:rsid w:val="00801A26"/>
    <w:rsid w:val="00801CAB"/>
    <w:rsid w:val="00801CD9"/>
    <w:rsid w:val="00813410"/>
    <w:rsid w:val="0081439E"/>
    <w:rsid w:val="0081558C"/>
    <w:rsid w:val="00827656"/>
    <w:rsid w:val="008278B1"/>
    <w:rsid w:val="0083609A"/>
    <w:rsid w:val="008411F9"/>
    <w:rsid w:val="00857747"/>
    <w:rsid w:val="008579E2"/>
    <w:rsid w:val="00861F8D"/>
    <w:rsid w:val="008622D4"/>
    <w:rsid w:val="008651DC"/>
    <w:rsid w:val="008673A6"/>
    <w:rsid w:val="00876294"/>
    <w:rsid w:val="00886B91"/>
    <w:rsid w:val="0089260A"/>
    <w:rsid w:val="00897BAB"/>
    <w:rsid w:val="008A180F"/>
    <w:rsid w:val="008A2F94"/>
    <w:rsid w:val="008A6C2C"/>
    <w:rsid w:val="008B537F"/>
    <w:rsid w:val="008B7C9A"/>
    <w:rsid w:val="008C0671"/>
    <w:rsid w:val="008E1315"/>
    <w:rsid w:val="008E2A94"/>
    <w:rsid w:val="008E2AEB"/>
    <w:rsid w:val="008E4758"/>
    <w:rsid w:val="008E60CB"/>
    <w:rsid w:val="008F0B07"/>
    <w:rsid w:val="008F1667"/>
    <w:rsid w:val="008F7C3B"/>
    <w:rsid w:val="00902C0F"/>
    <w:rsid w:val="0091076A"/>
    <w:rsid w:val="0092094E"/>
    <w:rsid w:val="00921280"/>
    <w:rsid w:val="00925B53"/>
    <w:rsid w:val="009366CE"/>
    <w:rsid w:val="00936C58"/>
    <w:rsid w:val="00942F14"/>
    <w:rsid w:val="0094407B"/>
    <w:rsid w:val="0094572A"/>
    <w:rsid w:val="00950983"/>
    <w:rsid w:val="009561F4"/>
    <w:rsid w:val="00956C50"/>
    <w:rsid w:val="00961495"/>
    <w:rsid w:val="00961595"/>
    <w:rsid w:val="00962BB9"/>
    <w:rsid w:val="00963061"/>
    <w:rsid w:val="00964729"/>
    <w:rsid w:val="00967136"/>
    <w:rsid w:val="009746C4"/>
    <w:rsid w:val="00981CB5"/>
    <w:rsid w:val="00983A66"/>
    <w:rsid w:val="00984FE9"/>
    <w:rsid w:val="009860A0"/>
    <w:rsid w:val="00994E6D"/>
    <w:rsid w:val="00995123"/>
    <w:rsid w:val="0099716B"/>
    <w:rsid w:val="009A07C3"/>
    <w:rsid w:val="009A2668"/>
    <w:rsid w:val="009A375E"/>
    <w:rsid w:val="009A4E0B"/>
    <w:rsid w:val="009B1678"/>
    <w:rsid w:val="009C3635"/>
    <w:rsid w:val="009D2365"/>
    <w:rsid w:val="009D29DA"/>
    <w:rsid w:val="009D5085"/>
    <w:rsid w:val="009E27D8"/>
    <w:rsid w:val="009E42DB"/>
    <w:rsid w:val="009F0E99"/>
    <w:rsid w:val="009F3DA0"/>
    <w:rsid w:val="009F746E"/>
    <w:rsid w:val="00A00562"/>
    <w:rsid w:val="00A02BCA"/>
    <w:rsid w:val="00A06A31"/>
    <w:rsid w:val="00A12061"/>
    <w:rsid w:val="00A15C5E"/>
    <w:rsid w:val="00A16066"/>
    <w:rsid w:val="00A16C4F"/>
    <w:rsid w:val="00A173D1"/>
    <w:rsid w:val="00A21AB7"/>
    <w:rsid w:val="00A35605"/>
    <w:rsid w:val="00A379B9"/>
    <w:rsid w:val="00A41353"/>
    <w:rsid w:val="00A47362"/>
    <w:rsid w:val="00A5036D"/>
    <w:rsid w:val="00A50778"/>
    <w:rsid w:val="00A50AFF"/>
    <w:rsid w:val="00A51871"/>
    <w:rsid w:val="00A53025"/>
    <w:rsid w:val="00A56C4C"/>
    <w:rsid w:val="00A7215A"/>
    <w:rsid w:val="00A725C1"/>
    <w:rsid w:val="00A81769"/>
    <w:rsid w:val="00A852CA"/>
    <w:rsid w:val="00A85752"/>
    <w:rsid w:val="00A91028"/>
    <w:rsid w:val="00A94B27"/>
    <w:rsid w:val="00AA5E92"/>
    <w:rsid w:val="00AB46F6"/>
    <w:rsid w:val="00AB707A"/>
    <w:rsid w:val="00AC0DBB"/>
    <w:rsid w:val="00AC4AE7"/>
    <w:rsid w:val="00AD0E84"/>
    <w:rsid w:val="00AD2A73"/>
    <w:rsid w:val="00AD3AD8"/>
    <w:rsid w:val="00AD51CC"/>
    <w:rsid w:val="00AD5B4F"/>
    <w:rsid w:val="00AD7E68"/>
    <w:rsid w:val="00AE0FDC"/>
    <w:rsid w:val="00AE1369"/>
    <w:rsid w:val="00AE4A51"/>
    <w:rsid w:val="00AF28AD"/>
    <w:rsid w:val="00AF3EFD"/>
    <w:rsid w:val="00AF5B76"/>
    <w:rsid w:val="00B032C2"/>
    <w:rsid w:val="00B06EBF"/>
    <w:rsid w:val="00B127A0"/>
    <w:rsid w:val="00B1679F"/>
    <w:rsid w:val="00B21750"/>
    <w:rsid w:val="00B21EDC"/>
    <w:rsid w:val="00B25339"/>
    <w:rsid w:val="00B31C88"/>
    <w:rsid w:val="00B31CDA"/>
    <w:rsid w:val="00B3734C"/>
    <w:rsid w:val="00B42431"/>
    <w:rsid w:val="00B54E6E"/>
    <w:rsid w:val="00B57A4C"/>
    <w:rsid w:val="00B60D50"/>
    <w:rsid w:val="00B63A0A"/>
    <w:rsid w:val="00B70CCD"/>
    <w:rsid w:val="00B72A35"/>
    <w:rsid w:val="00B91D6D"/>
    <w:rsid w:val="00B97552"/>
    <w:rsid w:val="00BA288B"/>
    <w:rsid w:val="00BA43F4"/>
    <w:rsid w:val="00BA7111"/>
    <w:rsid w:val="00BB0639"/>
    <w:rsid w:val="00BB13FB"/>
    <w:rsid w:val="00BB1CD6"/>
    <w:rsid w:val="00BB2963"/>
    <w:rsid w:val="00BB527B"/>
    <w:rsid w:val="00BC2699"/>
    <w:rsid w:val="00BC3A4E"/>
    <w:rsid w:val="00BC4356"/>
    <w:rsid w:val="00BC7308"/>
    <w:rsid w:val="00BD2369"/>
    <w:rsid w:val="00BD2E28"/>
    <w:rsid w:val="00BE387E"/>
    <w:rsid w:val="00BF6B88"/>
    <w:rsid w:val="00BF6BBC"/>
    <w:rsid w:val="00BF6C91"/>
    <w:rsid w:val="00C0036D"/>
    <w:rsid w:val="00C03325"/>
    <w:rsid w:val="00C04C36"/>
    <w:rsid w:val="00C06E9D"/>
    <w:rsid w:val="00C07516"/>
    <w:rsid w:val="00C1545A"/>
    <w:rsid w:val="00C17245"/>
    <w:rsid w:val="00C209DC"/>
    <w:rsid w:val="00C2141B"/>
    <w:rsid w:val="00C21BD3"/>
    <w:rsid w:val="00C32153"/>
    <w:rsid w:val="00C40FD0"/>
    <w:rsid w:val="00C44C87"/>
    <w:rsid w:val="00C4559A"/>
    <w:rsid w:val="00C55561"/>
    <w:rsid w:val="00C61879"/>
    <w:rsid w:val="00C624A3"/>
    <w:rsid w:val="00C63E4E"/>
    <w:rsid w:val="00C73F72"/>
    <w:rsid w:val="00C841AA"/>
    <w:rsid w:val="00C93398"/>
    <w:rsid w:val="00C95B80"/>
    <w:rsid w:val="00C967E3"/>
    <w:rsid w:val="00C97F56"/>
    <w:rsid w:val="00CA0FCB"/>
    <w:rsid w:val="00CA163E"/>
    <w:rsid w:val="00CA214D"/>
    <w:rsid w:val="00CA5A1C"/>
    <w:rsid w:val="00CB273B"/>
    <w:rsid w:val="00CB447B"/>
    <w:rsid w:val="00CB7CA0"/>
    <w:rsid w:val="00CC537D"/>
    <w:rsid w:val="00CC63A6"/>
    <w:rsid w:val="00CD19D3"/>
    <w:rsid w:val="00CD433D"/>
    <w:rsid w:val="00CE3FA8"/>
    <w:rsid w:val="00CE792B"/>
    <w:rsid w:val="00CF0C5C"/>
    <w:rsid w:val="00CF1B1E"/>
    <w:rsid w:val="00CF276D"/>
    <w:rsid w:val="00CF4FF2"/>
    <w:rsid w:val="00D00958"/>
    <w:rsid w:val="00D01FA9"/>
    <w:rsid w:val="00D02A61"/>
    <w:rsid w:val="00D0382D"/>
    <w:rsid w:val="00D34174"/>
    <w:rsid w:val="00D435C9"/>
    <w:rsid w:val="00D45DEC"/>
    <w:rsid w:val="00D530D2"/>
    <w:rsid w:val="00D54F73"/>
    <w:rsid w:val="00D650A2"/>
    <w:rsid w:val="00D65B6C"/>
    <w:rsid w:val="00D67020"/>
    <w:rsid w:val="00D727EB"/>
    <w:rsid w:val="00D73441"/>
    <w:rsid w:val="00D738D5"/>
    <w:rsid w:val="00D7770F"/>
    <w:rsid w:val="00D802E0"/>
    <w:rsid w:val="00D8400E"/>
    <w:rsid w:val="00D97A56"/>
    <w:rsid w:val="00DA399A"/>
    <w:rsid w:val="00DA5ECC"/>
    <w:rsid w:val="00DB1E1B"/>
    <w:rsid w:val="00DB5262"/>
    <w:rsid w:val="00DC7EF8"/>
    <w:rsid w:val="00DD35FB"/>
    <w:rsid w:val="00DD5ED3"/>
    <w:rsid w:val="00DE052D"/>
    <w:rsid w:val="00DE1CDD"/>
    <w:rsid w:val="00DE32DA"/>
    <w:rsid w:val="00DE5B85"/>
    <w:rsid w:val="00DF23D1"/>
    <w:rsid w:val="00E040AE"/>
    <w:rsid w:val="00E0430F"/>
    <w:rsid w:val="00E076A8"/>
    <w:rsid w:val="00E15D41"/>
    <w:rsid w:val="00E17253"/>
    <w:rsid w:val="00E17426"/>
    <w:rsid w:val="00E174C8"/>
    <w:rsid w:val="00E20895"/>
    <w:rsid w:val="00E22BE4"/>
    <w:rsid w:val="00E23BC8"/>
    <w:rsid w:val="00E247A1"/>
    <w:rsid w:val="00E3137C"/>
    <w:rsid w:val="00E31E61"/>
    <w:rsid w:val="00E37726"/>
    <w:rsid w:val="00E41B06"/>
    <w:rsid w:val="00E42DCA"/>
    <w:rsid w:val="00E44491"/>
    <w:rsid w:val="00E45D5F"/>
    <w:rsid w:val="00E5139D"/>
    <w:rsid w:val="00E57942"/>
    <w:rsid w:val="00E64322"/>
    <w:rsid w:val="00E6545F"/>
    <w:rsid w:val="00E65CEA"/>
    <w:rsid w:val="00E7377C"/>
    <w:rsid w:val="00E76C0B"/>
    <w:rsid w:val="00E77EF6"/>
    <w:rsid w:val="00E828C2"/>
    <w:rsid w:val="00E86AC0"/>
    <w:rsid w:val="00E951B9"/>
    <w:rsid w:val="00E96E8C"/>
    <w:rsid w:val="00E97A8A"/>
    <w:rsid w:val="00EA1F83"/>
    <w:rsid w:val="00EA376D"/>
    <w:rsid w:val="00EA613E"/>
    <w:rsid w:val="00EA6190"/>
    <w:rsid w:val="00EA7269"/>
    <w:rsid w:val="00EB3B46"/>
    <w:rsid w:val="00EC26D3"/>
    <w:rsid w:val="00EC66AB"/>
    <w:rsid w:val="00ED0ACE"/>
    <w:rsid w:val="00ED1160"/>
    <w:rsid w:val="00ED208A"/>
    <w:rsid w:val="00ED2A7B"/>
    <w:rsid w:val="00ED3275"/>
    <w:rsid w:val="00ED3C05"/>
    <w:rsid w:val="00ED591B"/>
    <w:rsid w:val="00ED5A79"/>
    <w:rsid w:val="00EE132F"/>
    <w:rsid w:val="00EE3631"/>
    <w:rsid w:val="00EE3B3B"/>
    <w:rsid w:val="00EE439D"/>
    <w:rsid w:val="00EE6D63"/>
    <w:rsid w:val="00EF3208"/>
    <w:rsid w:val="00EF4404"/>
    <w:rsid w:val="00F03DDD"/>
    <w:rsid w:val="00F0525D"/>
    <w:rsid w:val="00F11C83"/>
    <w:rsid w:val="00F14BFE"/>
    <w:rsid w:val="00F206E6"/>
    <w:rsid w:val="00F2124F"/>
    <w:rsid w:val="00F219EF"/>
    <w:rsid w:val="00F21E57"/>
    <w:rsid w:val="00F221CC"/>
    <w:rsid w:val="00F2221C"/>
    <w:rsid w:val="00F22907"/>
    <w:rsid w:val="00F234BC"/>
    <w:rsid w:val="00F259BE"/>
    <w:rsid w:val="00F332A0"/>
    <w:rsid w:val="00F354ED"/>
    <w:rsid w:val="00F3728D"/>
    <w:rsid w:val="00F37DB0"/>
    <w:rsid w:val="00F51CE7"/>
    <w:rsid w:val="00F52189"/>
    <w:rsid w:val="00F561A4"/>
    <w:rsid w:val="00F57081"/>
    <w:rsid w:val="00F57E22"/>
    <w:rsid w:val="00F64225"/>
    <w:rsid w:val="00F70DD0"/>
    <w:rsid w:val="00F74F12"/>
    <w:rsid w:val="00F75FC6"/>
    <w:rsid w:val="00F772B4"/>
    <w:rsid w:val="00F7778E"/>
    <w:rsid w:val="00F82779"/>
    <w:rsid w:val="00F84655"/>
    <w:rsid w:val="00F91BF2"/>
    <w:rsid w:val="00F95DA6"/>
    <w:rsid w:val="00FA2D79"/>
    <w:rsid w:val="00FA5C4C"/>
    <w:rsid w:val="00FA66CC"/>
    <w:rsid w:val="00FB1379"/>
    <w:rsid w:val="00FC4AA5"/>
    <w:rsid w:val="00FD211C"/>
    <w:rsid w:val="00FD3CE4"/>
    <w:rsid w:val="00FF3C7E"/>
    <w:rsid w:val="00FF5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rsid w:val="003D3B8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22D4"/>
    <w:rPr>
      <w:rFonts w:ascii="Tahoma" w:hAnsi="Tahoma" w:cs="Tahoma"/>
      <w:sz w:val="16"/>
      <w:szCs w:val="16"/>
    </w:rPr>
  </w:style>
  <w:style w:type="character" w:styleId="CommentReference">
    <w:name w:val="annotation reference"/>
    <w:semiHidden/>
    <w:rsid w:val="009F746E"/>
    <w:rPr>
      <w:sz w:val="16"/>
      <w:szCs w:val="16"/>
    </w:rPr>
  </w:style>
  <w:style w:type="paragraph" w:styleId="CommentText">
    <w:name w:val="annotation text"/>
    <w:basedOn w:val="Normal"/>
    <w:semiHidden/>
    <w:rsid w:val="009F746E"/>
    <w:rPr>
      <w:sz w:val="20"/>
      <w:szCs w:val="20"/>
    </w:rPr>
  </w:style>
  <w:style w:type="paragraph" w:styleId="CommentSubject">
    <w:name w:val="annotation subject"/>
    <w:basedOn w:val="CommentText"/>
    <w:next w:val="CommentText"/>
    <w:semiHidden/>
    <w:rsid w:val="009F746E"/>
    <w:rPr>
      <w:b/>
      <w:bCs/>
    </w:rPr>
  </w:style>
  <w:style w:type="paragraph" w:styleId="Header">
    <w:name w:val="header"/>
    <w:basedOn w:val="Normal"/>
    <w:rsid w:val="00AF28AD"/>
    <w:pPr>
      <w:tabs>
        <w:tab w:val="center" w:pos="4320"/>
        <w:tab w:val="right" w:pos="8640"/>
      </w:tabs>
    </w:pPr>
  </w:style>
  <w:style w:type="paragraph" w:styleId="Footer">
    <w:name w:val="footer"/>
    <w:basedOn w:val="Normal"/>
    <w:link w:val="FooterChar"/>
    <w:uiPriority w:val="99"/>
    <w:rsid w:val="00AF28AD"/>
    <w:pPr>
      <w:tabs>
        <w:tab w:val="center" w:pos="4320"/>
        <w:tab w:val="right" w:pos="8640"/>
      </w:tabs>
    </w:pPr>
  </w:style>
  <w:style w:type="paragraph" w:styleId="Caption">
    <w:name w:val="caption"/>
    <w:basedOn w:val="Normal"/>
    <w:next w:val="Normal"/>
    <w:qFormat/>
    <w:rsid w:val="001F0BAC"/>
    <w:rPr>
      <w:b/>
      <w:bCs/>
      <w:sz w:val="20"/>
      <w:szCs w:val="20"/>
    </w:rPr>
  </w:style>
  <w:style w:type="paragraph" w:styleId="FootnoteText">
    <w:name w:val="footnote text"/>
    <w:basedOn w:val="Normal"/>
    <w:semiHidden/>
    <w:rsid w:val="008C0671"/>
    <w:rPr>
      <w:sz w:val="20"/>
      <w:szCs w:val="20"/>
    </w:rPr>
  </w:style>
  <w:style w:type="character" w:styleId="FootnoteReference">
    <w:name w:val="footnote reference"/>
    <w:semiHidden/>
    <w:rsid w:val="008C0671"/>
    <w:rPr>
      <w:vertAlign w:val="superscript"/>
    </w:rPr>
  </w:style>
  <w:style w:type="paragraph" w:styleId="DocumentMap">
    <w:name w:val="Document Map"/>
    <w:basedOn w:val="Normal"/>
    <w:semiHidden/>
    <w:rsid w:val="000E1DFF"/>
    <w:pPr>
      <w:shd w:val="clear" w:color="auto" w:fill="000080"/>
    </w:pPr>
    <w:rPr>
      <w:rFonts w:ascii="Tahoma" w:hAnsi="Tahoma" w:cs="Tahoma"/>
      <w:sz w:val="20"/>
      <w:szCs w:val="20"/>
    </w:rPr>
  </w:style>
  <w:style w:type="character" w:customStyle="1" w:styleId="FooterChar">
    <w:name w:val="Footer Char"/>
    <w:link w:val="Footer"/>
    <w:uiPriority w:val="99"/>
    <w:rsid w:val="00FC4AA5"/>
    <w:rPr>
      <w:sz w:val="24"/>
      <w:szCs w:val="24"/>
    </w:rPr>
  </w:style>
  <w:style w:type="paragraph" w:styleId="Revision">
    <w:name w:val="Revision"/>
    <w:hidden/>
    <w:uiPriority w:val="99"/>
    <w:semiHidden/>
    <w:rsid w:val="002C79DF"/>
    <w:rPr>
      <w:sz w:val="24"/>
      <w:szCs w:val="24"/>
      <w:lang w:val="en-US" w:eastAsia="en-US"/>
    </w:rPr>
  </w:style>
  <w:style w:type="paragraph" w:styleId="NormalWeb">
    <w:name w:val="Normal (Web)"/>
    <w:basedOn w:val="Normal"/>
    <w:uiPriority w:val="99"/>
    <w:unhideWhenUsed/>
    <w:rsid w:val="00CB273B"/>
    <w:pPr>
      <w:spacing w:before="100" w:beforeAutospacing="1" w:after="100" w:afterAutospacing="1"/>
    </w:pPr>
    <w:rPr>
      <w:rFonts w:eastAsiaTheme="minorEastAsia"/>
      <w:lang w:val="en-JM" w:eastAsia="en-JM"/>
    </w:rPr>
  </w:style>
  <w:style w:type="paragraph" w:styleId="ListParagraph">
    <w:name w:val="List Paragraph"/>
    <w:basedOn w:val="Normal"/>
    <w:uiPriority w:val="34"/>
    <w:qFormat/>
    <w:rsid w:val="006C6F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rsid w:val="003D3B81"/>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22D4"/>
    <w:rPr>
      <w:rFonts w:ascii="Tahoma" w:hAnsi="Tahoma" w:cs="Tahoma"/>
      <w:sz w:val="16"/>
      <w:szCs w:val="16"/>
    </w:rPr>
  </w:style>
  <w:style w:type="character" w:styleId="CommentReference">
    <w:name w:val="annotation reference"/>
    <w:semiHidden/>
    <w:rsid w:val="009F746E"/>
    <w:rPr>
      <w:sz w:val="16"/>
      <w:szCs w:val="16"/>
    </w:rPr>
  </w:style>
  <w:style w:type="paragraph" w:styleId="CommentText">
    <w:name w:val="annotation text"/>
    <w:basedOn w:val="Normal"/>
    <w:semiHidden/>
    <w:rsid w:val="009F746E"/>
    <w:rPr>
      <w:sz w:val="20"/>
      <w:szCs w:val="20"/>
    </w:rPr>
  </w:style>
  <w:style w:type="paragraph" w:styleId="CommentSubject">
    <w:name w:val="annotation subject"/>
    <w:basedOn w:val="CommentText"/>
    <w:next w:val="CommentText"/>
    <w:semiHidden/>
    <w:rsid w:val="009F746E"/>
    <w:rPr>
      <w:b/>
      <w:bCs/>
    </w:rPr>
  </w:style>
  <w:style w:type="paragraph" w:styleId="Header">
    <w:name w:val="header"/>
    <w:basedOn w:val="Normal"/>
    <w:rsid w:val="00AF28AD"/>
    <w:pPr>
      <w:tabs>
        <w:tab w:val="center" w:pos="4320"/>
        <w:tab w:val="right" w:pos="8640"/>
      </w:tabs>
    </w:pPr>
  </w:style>
  <w:style w:type="paragraph" w:styleId="Footer">
    <w:name w:val="footer"/>
    <w:basedOn w:val="Normal"/>
    <w:link w:val="FooterChar"/>
    <w:uiPriority w:val="99"/>
    <w:rsid w:val="00AF28AD"/>
    <w:pPr>
      <w:tabs>
        <w:tab w:val="center" w:pos="4320"/>
        <w:tab w:val="right" w:pos="8640"/>
      </w:tabs>
    </w:pPr>
  </w:style>
  <w:style w:type="paragraph" w:styleId="Caption">
    <w:name w:val="caption"/>
    <w:basedOn w:val="Normal"/>
    <w:next w:val="Normal"/>
    <w:qFormat/>
    <w:rsid w:val="001F0BAC"/>
    <w:rPr>
      <w:b/>
      <w:bCs/>
      <w:sz w:val="20"/>
      <w:szCs w:val="20"/>
    </w:rPr>
  </w:style>
  <w:style w:type="paragraph" w:styleId="FootnoteText">
    <w:name w:val="footnote text"/>
    <w:basedOn w:val="Normal"/>
    <w:semiHidden/>
    <w:rsid w:val="008C0671"/>
    <w:rPr>
      <w:sz w:val="20"/>
      <w:szCs w:val="20"/>
    </w:rPr>
  </w:style>
  <w:style w:type="character" w:styleId="FootnoteReference">
    <w:name w:val="footnote reference"/>
    <w:semiHidden/>
    <w:rsid w:val="008C0671"/>
    <w:rPr>
      <w:vertAlign w:val="superscript"/>
    </w:rPr>
  </w:style>
  <w:style w:type="paragraph" w:styleId="DocumentMap">
    <w:name w:val="Document Map"/>
    <w:basedOn w:val="Normal"/>
    <w:semiHidden/>
    <w:rsid w:val="000E1DFF"/>
    <w:pPr>
      <w:shd w:val="clear" w:color="auto" w:fill="000080"/>
    </w:pPr>
    <w:rPr>
      <w:rFonts w:ascii="Tahoma" w:hAnsi="Tahoma" w:cs="Tahoma"/>
      <w:sz w:val="20"/>
      <w:szCs w:val="20"/>
    </w:rPr>
  </w:style>
  <w:style w:type="character" w:customStyle="1" w:styleId="FooterChar">
    <w:name w:val="Footer Char"/>
    <w:link w:val="Footer"/>
    <w:uiPriority w:val="99"/>
    <w:rsid w:val="00FC4AA5"/>
    <w:rPr>
      <w:sz w:val="24"/>
      <w:szCs w:val="24"/>
    </w:rPr>
  </w:style>
  <w:style w:type="paragraph" w:styleId="Revision">
    <w:name w:val="Revision"/>
    <w:hidden/>
    <w:uiPriority w:val="99"/>
    <w:semiHidden/>
    <w:rsid w:val="002C79DF"/>
    <w:rPr>
      <w:sz w:val="24"/>
      <w:szCs w:val="24"/>
      <w:lang w:val="en-US" w:eastAsia="en-US"/>
    </w:rPr>
  </w:style>
  <w:style w:type="paragraph" w:styleId="NormalWeb">
    <w:name w:val="Normal (Web)"/>
    <w:basedOn w:val="Normal"/>
    <w:uiPriority w:val="99"/>
    <w:unhideWhenUsed/>
    <w:rsid w:val="00CB273B"/>
    <w:pPr>
      <w:spacing w:before="100" w:beforeAutospacing="1" w:after="100" w:afterAutospacing="1"/>
    </w:pPr>
    <w:rPr>
      <w:rFonts w:eastAsiaTheme="minorEastAsia"/>
      <w:lang w:val="en-JM" w:eastAsia="en-JM"/>
    </w:rPr>
  </w:style>
  <w:style w:type="paragraph" w:styleId="ListParagraph">
    <w:name w:val="List Paragraph"/>
    <w:basedOn w:val="Normal"/>
    <w:uiPriority w:val="34"/>
    <w:qFormat/>
    <w:rsid w:val="006C6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4976F-78D5-4BB0-9E87-90C687C2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540</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Currency Press release</vt:lpstr>
    </vt:vector>
  </TitlesOfParts>
  <Company>BOJ</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Currency Press release</dc:title>
  <dc:creator>twanyas</dc:creator>
  <cp:lastModifiedBy>Tony Morrison</cp:lastModifiedBy>
  <cp:revision>2</cp:revision>
  <cp:lastPrinted>2020-12-14T20:28:00Z</cp:lastPrinted>
  <dcterms:created xsi:type="dcterms:W3CDTF">2021-01-20T20:07:00Z</dcterms:created>
  <dcterms:modified xsi:type="dcterms:W3CDTF">2021-01-20T20:07:00Z</dcterms:modified>
</cp:coreProperties>
</file>