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5FF79" w14:textId="77777777" w:rsidR="003F489F" w:rsidRPr="007D2EF9" w:rsidRDefault="003F489F" w:rsidP="00F37D76">
      <w:pPr>
        <w:spacing w:after="0" w:line="360" w:lineRule="auto"/>
        <w:rPr>
          <w:rFonts w:ascii="Arial" w:eastAsia="Times New Roman" w:hAnsi="Arial" w:cs="Arial"/>
          <w:sz w:val="28"/>
          <w:szCs w:val="28"/>
          <w:lang w:val="en-JM"/>
        </w:rPr>
      </w:pPr>
      <w:bookmarkStart w:id="0" w:name="_GoBack"/>
      <w:bookmarkEnd w:id="0"/>
      <w:r w:rsidRPr="007D2EF9">
        <w:rPr>
          <w:rFonts w:ascii="Arial" w:eastAsia="Times New Roman" w:hAnsi="Arial" w:cs="Arial"/>
          <w:sz w:val="28"/>
          <w:szCs w:val="28"/>
          <w:lang w:val="en-JM"/>
        </w:rPr>
        <w:br/>
      </w:r>
      <w:r w:rsidR="000F1047" w:rsidRPr="007D2EF9">
        <w:rPr>
          <w:rFonts w:ascii="Arial" w:eastAsia="Times New Roman" w:hAnsi="Arial" w:cs="Arial"/>
          <w:noProof/>
          <w:color w:val="000000"/>
          <w:sz w:val="28"/>
          <w:szCs w:val="28"/>
          <w:bdr w:val="none" w:sz="0" w:space="0" w:color="auto" w:frame="1"/>
        </w:rPr>
        <w:drawing>
          <wp:inline distT="0" distB="0" distL="0" distR="0" wp14:anchorId="74D92011" wp14:editId="48B017FF">
            <wp:extent cx="5943600" cy="622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22300"/>
                    </a:xfrm>
                    <a:prstGeom prst="rect">
                      <a:avLst/>
                    </a:prstGeom>
                    <a:noFill/>
                    <a:ln>
                      <a:noFill/>
                    </a:ln>
                  </pic:spPr>
                </pic:pic>
              </a:graphicData>
            </a:graphic>
          </wp:inline>
        </w:drawing>
      </w:r>
      <w:r w:rsidRPr="007D2EF9">
        <w:rPr>
          <w:rFonts w:ascii="Arial" w:eastAsia="Times New Roman" w:hAnsi="Arial" w:cs="Arial"/>
          <w:sz w:val="28"/>
          <w:szCs w:val="28"/>
          <w:lang w:val="en-JM"/>
        </w:rPr>
        <w:br/>
      </w:r>
      <w:r w:rsidRPr="007D2EF9">
        <w:rPr>
          <w:rFonts w:ascii="Arial" w:eastAsia="Times New Roman" w:hAnsi="Arial" w:cs="Arial"/>
          <w:sz w:val="28"/>
          <w:szCs w:val="28"/>
          <w:lang w:val="en-JM"/>
        </w:rPr>
        <w:br/>
      </w:r>
    </w:p>
    <w:p w14:paraId="5F567A61" w14:textId="77777777" w:rsidR="000F1047" w:rsidRPr="007D2EF9" w:rsidRDefault="000F1047" w:rsidP="00F37D76">
      <w:pPr>
        <w:spacing w:after="0" w:line="360" w:lineRule="auto"/>
        <w:rPr>
          <w:rFonts w:ascii="Arial" w:eastAsia="Times New Roman" w:hAnsi="Arial" w:cs="Arial"/>
          <w:sz w:val="28"/>
          <w:szCs w:val="28"/>
          <w:lang w:val="en-JM"/>
        </w:rPr>
      </w:pPr>
    </w:p>
    <w:p w14:paraId="13A1C8A3" w14:textId="77777777" w:rsidR="000F1047" w:rsidRPr="007D2EF9" w:rsidRDefault="000F1047" w:rsidP="00F37D76">
      <w:pPr>
        <w:spacing w:after="0" w:line="360" w:lineRule="auto"/>
        <w:rPr>
          <w:rFonts w:ascii="Arial" w:eastAsia="Times New Roman" w:hAnsi="Arial" w:cs="Arial"/>
          <w:sz w:val="28"/>
          <w:szCs w:val="28"/>
          <w:lang w:val="en-JM"/>
        </w:rPr>
      </w:pPr>
    </w:p>
    <w:p w14:paraId="409AD02F" w14:textId="77777777" w:rsidR="000F1047" w:rsidRPr="007D2EF9" w:rsidRDefault="000F1047" w:rsidP="00F37D76">
      <w:pPr>
        <w:spacing w:after="0" w:line="240" w:lineRule="auto"/>
        <w:rPr>
          <w:rFonts w:ascii="Arial" w:eastAsia="Times New Roman" w:hAnsi="Arial" w:cs="Arial"/>
          <w:sz w:val="28"/>
          <w:szCs w:val="28"/>
          <w:lang w:val="en-JM"/>
        </w:rPr>
      </w:pPr>
    </w:p>
    <w:p w14:paraId="0E31730B" w14:textId="77777777" w:rsidR="003F489F" w:rsidRPr="007D2EF9" w:rsidRDefault="003F489F" w:rsidP="00F37D76">
      <w:pPr>
        <w:spacing w:after="0" w:line="360" w:lineRule="auto"/>
        <w:ind w:left="1843" w:right="1705"/>
        <w:jc w:val="center"/>
        <w:rPr>
          <w:rFonts w:ascii="Arial" w:eastAsia="Times New Roman" w:hAnsi="Arial" w:cs="Arial"/>
          <w:sz w:val="28"/>
          <w:szCs w:val="28"/>
          <w:lang w:val="en-JM"/>
        </w:rPr>
      </w:pPr>
      <w:r w:rsidRPr="007D2EF9">
        <w:rPr>
          <w:rFonts w:ascii="Arial" w:eastAsia="Times New Roman" w:hAnsi="Arial" w:cs="Arial"/>
          <w:b/>
          <w:bCs/>
          <w:color w:val="000000"/>
          <w:sz w:val="28"/>
          <w:szCs w:val="28"/>
          <w:lang w:val="en-JM"/>
        </w:rPr>
        <w:t>Monetary Policy Press Statement:</w:t>
      </w:r>
    </w:p>
    <w:p w14:paraId="1A1729EA" w14:textId="77777777" w:rsidR="003F489F" w:rsidRPr="007D2EF9" w:rsidRDefault="003F489F" w:rsidP="00F37D76">
      <w:pPr>
        <w:spacing w:after="0" w:line="360" w:lineRule="auto"/>
        <w:ind w:left="1843" w:right="1705"/>
        <w:jc w:val="center"/>
        <w:rPr>
          <w:rFonts w:ascii="Arial" w:eastAsia="Times New Roman" w:hAnsi="Arial" w:cs="Arial"/>
          <w:sz w:val="28"/>
          <w:szCs w:val="28"/>
          <w:lang w:val="en-JM"/>
        </w:rPr>
      </w:pPr>
      <w:r w:rsidRPr="007D2EF9">
        <w:rPr>
          <w:rFonts w:ascii="Arial" w:eastAsia="Times New Roman" w:hAnsi="Arial" w:cs="Arial"/>
          <w:b/>
          <w:bCs/>
          <w:color w:val="000000"/>
          <w:sz w:val="28"/>
          <w:szCs w:val="28"/>
          <w:lang w:val="en-JM"/>
        </w:rPr>
        <w:t> QMPR Press Conference</w:t>
      </w:r>
    </w:p>
    <w:p w14:paraId="05AFC356" w14:textId="77777777" w:rsidR="003F489F" w:rsidRPr="007D2EF9" w:rsidRDefault="003F489F" w:rsidP="00F37D76">
      <w:pPr>
        <w:spacing w:after="0" w:line="360" w:lineRule="auto"/>
        <w:rPr>
          <w:rFonts w:ascii="Arial" w:eastAsia="Times New Roman" w:hAnsi="Arial" w:cs="Arial"/>
          <w:sz w:val="28"/>
          <w:szCs w:val="28"/>
          <w:lang w:val="en-JM"/>
        </w:rPr>
      </w:pPr>
    </w:p>
    <w:p w14:paraId="42E57F1A" w14:textId="77777777" w:rsidR="003F489F" w:rsidRPr="007D2EF9" w:rsidRDefault="003F489F" w:rsidP="00F37D76">
      <w:pPr>
        <w:spacing w:after="0" w:line="360" w:lineRule="auto"/>
        <w:ind w:left="100" w:right="-20"/>
        <w:jc w:val="both"/>
        <w:rPr>
          <w:rFonts w:ascii="Arial" w:eastAsia="Times New Roman" w:hAnsi="Arial" w:cs="Arial"/>
          <w:sz w:val="28"/>
          <w:szCs w:val="28"/>
          <w:lang w:val="en-JM"/>
        </w:rPr>
      </w:pPr>
    </w:p>
    <w:p w14:paraId="7949DF82" w14:textId="77777777" w:rsidR="003F489F" w:rsidRPr="007D2EF9" w:rsidRDefault="003F489F" w:rsidP="00F37D76">
      <w:pPr>
        <w:spacing w:after="0" w:line="360" w:lineRule="auto"/>
        <w:rPr>
          <w:rFonts w:ascii="Arial" w:eastAsia="Times New Roman" w:hAnsi="Arial" w:cs="Arial"/>
          <w:sz w:val="28"/>
          <w:szCs w:val="28"/>
          <w:lang w:val="en-JM"/>
        </w:rPr>
      </w:pPr>
    </w:p>
    <w:p w14:paraId="221080FB" w14:textId="77777777" w:rsidR="003F489F" w:rsidRPr="007D2EF9" w:rsidRDefault="003F489F" w:rsidP="00F37D76">
      <w:pPr>
        <w:spacing w:after="0" w:line="360" w:lineRule="auto"/>
        <w:ind w:left="2268" w:right="2599"/>
        <w:jc w:val="center"/>
        <w:rPr>
          <w:rFonts w:ascii="Arial" w:eastAsia="Times New Roman" w:hAnsi="Arial" w:cs="Arial"/>
          <w:sz w:val="28"/>
          <w:szCs w:val="28"/>
          <w:lang w:val="en-JM"/>
        </w:rPr>
      </w:pPr>
      <w:r w:rsidRPr="007D2EF9">
        <w:rPr>
          <w:rFonts w:ascii="Arial" w:eastAsia="Times New Roman" w:hAnsi="Arial" w:cs="Arial"/>
          <w:b/>
          <w:bCs/>
          <w:i/>
          <w:iCs/>
          <w:color w:val="000000"/>
          <w:sz w:val="28"/>
          <w:szCs w:val="28"/>
          <w:lang w:val="en-JM"/>
        </w:rPr>
        <w:t>Richard Byles</w:t>
      </w:r>
    </w:p>
    <w:p w14:paraId="6E30CF4F" w14:textId="77777777" w:rsidR="003F489F" w:rsidRPr="007D2EF9" w:rsidRDefault="003F489F" w:rsidP="00F37D76">
      <w:pPr>
        <w:spacing w:after="0" w:line="360" w:lineRule="auto"/>
        <w:rPr>
          <w:rFonts w:ascii="Arial" w:eastAsia="Times New Roman" w:hAnsi="Arial" w:cs="Arial"/>
          <w:sz w:val="28"/>
          <w:szCs w:val="28"/>
          <w:lang w:val="en-JM"/>
        </w:rPr>
      </w:pPr>
    </w:p>
    <w:p w14:paraId="618DF764" w14:textId="77777777" w:rsidR="003F489F" w:rsidRPr="007D2EF9" w:rsidRDefault="003F489F" w:rsidP="00F37D76">
      <w:pPr>
        <w:spacing w:after="0" w:line="360" w:lineRule="auto"/>
        <w:ind w:left="2268" w:right="2599"/>
        <w:jc w:val="center"/>
        <w:rPr>
          <w:rFonts w:ascii="Arial" w:eastAsia="Times New Roman" w:hAnsi="Arial" w:cs="Arial"/>
          <w:sz w:val="28"/>
          <w:szCs w:val="28"/>
          <w:lang w:val="en-JM"/>
        </w:rPr>
      </w:pPr>
      <w:r w:rsidRPr="007D2EF9">
        <w:rPr>
          <w:rFonts w:ascii="Arial" w:eastAsia="Times New Roman" w:hAnsi="Arial" w:cs="Arial"/>
          <w:b/>
          <w:bCs/>
          <w:color w:val="000000"/>
          <w:sz w:val="28"/>
          <w:szCs w:val="28"/>
          <w:lang w:val="en-JM"/>
        </w:rPr>
        <w:t>Governor</w:t>
      </w:r>
    </w:p>
    <w:p w14:paraId="1E58B489" w14:textId="77777777" w:rsidR="00FB2934" w:rsidRPr="007D2EF9" w:rsidRDefault="003F489F" w:rsidP="00FB2934">
      <w:pPr>
        <w:spacing w:after="0" w:line="360" w:lineRule="auto"/>
        <w:ind w:left="2268" w:right="2599"/>
        <w:jc w:val="center"/>
        <w:rPr>
          <w:rFonts w:ascii="Arial" w:eastAsia="Times New Roman" w:hAnsi="Arial" w:cs="Arial"/>
          <w:sz w:val="28"/>
          <w:szCs w:val="28"/>
          <w:lang w:val="en-JM"/>
        </w:rPr>
      </w:pPr>
      <w:r w:rsidRPr="007D2EF9">
        <w:rPr>
          <w:rFonts w:ascii="Arial" w:eastAsia="Times New Roman" w:hAnsi="Arial" w:cs="Arial"/>
          <w:sz w:val="28"/>
          <w:szCs w:val="28"/>
          <w:lang w:val="en-JM"/>
        </w:rPr>
        <w:br/>
      </w:r>
      <w:r w:rsidRPr="007D2EF9">
        <w:rPr>
          <w:rFonts w:ascii="Arial" w:eastAsia="Times New Roman" w:hAnsi="Arial" w:cs="Arial"/>
          <w:sz w:val="28"/>
          <w:szCs w:val="28"/>
          <w:lang w:val="en-JM"/>
        </w:rPr>
        <w:br/>
      </w:r>
      <w:r w:rsidR="00FB2934" w:rsidRPr="007D2EF9">
        <w:rPr>
          <w:rFonts w:ascii="Arial" w:eastAsia="Times New Roman" w:hAnsi="Arial" w:cs="Arial"/>
          <w:color w:val="000000"/>
          <w:sz w:val="28"/>
          <w:szCs w:val="28"/>
          <w:lang w:val="en-JM"/>
        </w:rPr>
        <w:t>Bank of Jamaica</w:t>
      </w:r>
    </w:p>
    <w:p w14:paraId="4C12B340" w14:textId="77777777" w:rsidR="003F489F" w:rsidRPr="007D2EF9" w:rsidRDefault="00FB2934" w:rsidP="00FB2934">
      <w:pPr>
        <w:spacing w:after="0" w:line="360" w:lineRule="auto"/>
        <w:ind w:left="1440" w:firstLine="720"/>
        <w:rPr>
          <w:rFonts w:ascii="Arial" w:eastAsia="Times New Roman" w:hAnsi="Arial" w:cs="Arial"/>
          <w:b/>
          <w:bCs/>
          <w:kern w:val="36"/>
          <w:sz w:val="28"/>
          <w:szCs w:val="28"/>
          <w:lang w:val="en-JM"/>
        </w:rPr>
      </w:pPr>
      <w:r w:rsidRPr="007D2EF9">
        <w:rPr>
          <w:rFonts w:ascii="Arial" w:eastAsia="Times New Roman" w:hAnsi="Arial" w:cs="Arial"/>
          <w:color w:val="000000"/>
          <w:kern w:val="36"/>
          <w:sz w:val="28"/>
          <w:szCs w:val="28"/>
          <w:lang w:val="en-JM"/>
        </w:rPr>
        <w:t>19 August 2022</w:t>
      </w:r>
      <w:r w:rsidR="003F489F" w:rsidRPr="007D2EF9">
        <w:rPr>
          <w:rFonts w:ascii="Arial" w:eastAsia="Times New Roman" w:hAnsi="Arial" w:cs="Arial"/>
          <w:sz w:val="28"/>
          <w:szCs w:val="28"/>
          <w:lang w:val="en-JM"/>
        </w:rPr>
        <w:br/>
      </w:r>
      <w:r w:rsidR="003F489F" w:rsidRPr="007D2EF9">
        <w:rPr>
          <w:rFonts w:ascii="Arial" w:eastAsia="Times New Roman" w:hAnsi="Arial" w:cs="Arial"/>
          <w:sz w:val="28"/>
          <w:szCs w:val="28"/>
          <w:lang w:val="en-JM"/>
        </w:rPr>
        <w:br/>
      </w:r>
    </w:p>
    <w:p w14:paraId="04738308" w14:textId="77777777" w:rsidR="00DC6C09" w:rsidRPr="007D2EF9" w:rsidRDefault="00DC6C09" w:rsidP="00F37D76">
      <w:pPr>
        <w:spacing w:after="0" w:line="360" w:lineRule="auto"/>
        <w:jc w:val="both"/>
        <w:rPr>
          <w:rFonts w:ascii="Arial" w:eastAsia="Times New Roman" w:hAnsi="Arial" w:cs="Arial"/>
          <w:b/>
          <w:bCs/>
          <w:color w:val="000000"/>
          <w:sz w:val="28"/>
          <w:szCs w:val="28"/>
          <w:lang w:val="en-JM"/>
        </w:rPr>
      </w:pPr>
    </w:p>
    <w:p w14:paraId="5E768925" w14:textId="77777777" w:rsidR="003F489F" w:rsidRPr="007D2EF9" w:rsidRDefault="003F489F" w:rsidP="00F37D76">
      <w:pPr>
        <w:spacing w:after="0" w:line="360" w:lineRule="auto"/>
        <w:jc w:val="both"/>
        <w:rPr>
          <w:rFonts w:ascii="Arial" w:eastAsia="Times New Roman" w:hAnsi="Arial" w:cs="Arial"/>
          <w:sz w:val="28"/>
          <w:szCs w:val="28"/>
          <w:lang w:val="en-JM"/>
        </w:rPr>
      </w:pPr>
      <w:r w:rsidRPr="007D2EF9">
        <w:rPr>
          <w:rFonts w:ascii="Arial" w:eastAsia="Times New Roman" w:hAnsi="Arial" w:cs="Arial"/>
          <w:b/>
          <w:bCs/>
          <w:color w:val="000000"/>
          <w:sz w:val="28"/>
          <w:szCs w:val="28"/>
          <w:lang w:val="en-JM"/>
        </w:rPr>
        <w:t>Introduction</w:t>
      </w:r>
    </w:p>
    <w:p w14:paraId="047835F9" w14:textId="77777777" w:rsidR="003F489F" w:rsidRPr="00B64388" w:rsidRDefault="003F489F" w:rsidP="00F37D76">
      <w:pPr>
        <w:spacing w:after="240" w:line="360" w:lineRule="auto"/>
        <w:ind w:firstLine="720"/>
        <w:jc w:val="both"/>
        <w:rPr>
          <w:rFonts w:ascii="Arial" w:eastAsia="Times New Roman" w:hAnsi="Arial" w:cs="Arial"/>
          <w:sz w:val="28"/>
          <w:szCs w:val="28"/>
          <w:lang w:val="en-JM"/>
        </w:rPr>
      </w:pPr>
      <w:r w:rsidRPr="00B64388">
        <w:rPr>
          <w:rFonts w:ascii="Arial" w:eastAsia="Times New Roman" w:hAnsi="Arial" w:cs="Arial"/>
          <w:color w:val="000000"/>
          <w:sz w:val="28"/>
          <w:szCs w:val="28"/>
          <w:lang w:val="en-JM"/>
        </w:rPr>
        <w:t>Good morning, ladies and gentlemen and welcome to our Quarterly Monetary Policy Report press conference. </w:t>
      </w:r>
    </w:p>
    <w:p w14:paraId="12BB49A8" w14:textId="77777777" w:rsidR="007F255E" w:rsidRPr="00B64388" w:rsidRDefault="00814ABF" w:rsidP="00F37D76">
      <w:pPr>
        <w:spacing w:after="240" w:line="360" w:lineRule="auto"/>
        <w:ind w:firstLine="720"/>
        <w:jc w:val="both"/>
        <w:rPr>
          <w:rFonts w:ascii="Arial" w:eastAsia="Times New Roman" w:hAnsi="Arial" w:cs="Arial"/>
          <w:sz w:val="28"/>
          <w:szCs w:val="28"/>
          <w:lang w:val="en-JM"/>
        </w:rPr>
      </w:pPr>
      <w:r w:rsidRPr="00B64388">
        <w:rPr>
          <w:rFonts w:ascii="Arial" w:eastAsia="Times New Roman" w:hAnsi="Arial" w:cs="Arial"/>
          <w:sz w:val="28"/>
          <w:szCs w:val="28"/>
          <w:lang w:val="en-JM"/>
        </w:rPr>
        <w:t xml:space="preserve">Bank of Jamaica </w:t>
      </w:r>
      <w:r w:rsidR="00004A56" w:rsidRPr="00B64388">
        <w:rPr>
          <w:rFonts w:ascii="Arial" w:eastAsia="Times New Roman" w:hAnsi="Arial" w:cs="Arial"/>
          <w:sz w:val="28"/>
          <w:szCs w:val="28"/>
          <w:lang w:val="en-JM"/>
        </w:rPr>
        <w:t>is</w:t>
      </w:r>
      <w:r w:rsidR="007C23E9" w:rsidRPr="00B64388">
        <w:rPr>
          <w:rFonts w:ascii="Arial" w:eastAsia="Times New Roman" w:hAnsi="Arial" w:cs="Arial"/>
          <w:sz w:val="28"/>
          <w:szCs w:val="28"/>
          <w:lang w:val="en-JM"/>
        </w:rPr>
        <w:t xml:space="preserve"> </w:t>
      </w:r>
      <w:r w:rsidRPr="00B64388">
        <w:rPr>
          <w:rFonts w:ascii="Arial" w:eastAsia="Times New Roman" w:hAnsi="Arial" w:cs="Arial"/>
          <w:sz w:val="28"/>
          <w:szCs w:val="28"/>
          <w:lang w:val="en-JM"/>
        </w:rPr>
        <w:t xml:space="preserve">encouraged by the direction of the last </w:t>
      </w:r>
      <w:r w:rsidR="00A964CE" w:rsidRPr="00B64388">
        <w:rPr>
          <w:rFonts w:ascii="Arial" w:eastAsia="Times New Roman" w:hAnsi="Arial" w:cs="Arial"/>
          <w:sz w:val="28"/>
          <w:szCs w:val="28"/>
          <w:lang w:val="en-JM"/>
        </w:rPr>
        <w:t>three</w:t>
      </w:r>
      <w:r w:rsidRPr="00B64388">
        <w:rPr>
          <w:rFonts w:ascii="Arial" w:eastAsia="Times New Roman" w:hAnsi="Arial" w:cs="Arial"/>
          <w:sz w:val="28"/>
          <w:szCs w:val="28"/>
          <w:lang w:val="en-JM"/>
        </w:rPr>
        <w:t xml:space="preserve"> CPI reports. Having peaked in April 2022</w:t>
      </w:r>
      <w:r w:rsidR="007B5F2B" w:rsidRPr="00B64388">
        <w:rPr>
          <w:rFonts w:ascii="Arial" w:eastAsia="Times New Roman" w:hAnsi="Arial" w:cs="Arial"/>
          <w:sz w:val="28"/>
          <w:szCs w:val="28"/>
          <w:lang w:val="en-JM"/>
        </w:rPr>
        <w:t xml:space="preserve"> at </w:t>
      </w:r>
      <w:r w:rsidR="007C23E9" w:rsidRPr="00B64388">
        <w:rPr>
          <w:rFonts w:ascii="Arial" w:eastAsia="Times New Roman" w:hAnsi="Arial" w:cs="Arial"/>
          <w:sz w:val="28"/>
          <w:szCs w:val="28"/>
          <w:lang w:val="en-JM"/>
        </w:rPr>
        <w:t>11.8</w:t>
      </w:r>
      <w:r w:rsidR="007B5F2B" w:rsidRPr="00B64388">
        <w:rPr>
          <w:rFonts w:ascii="Arial" w:eastAsia="Times New Roman" w:hAnsi="Arial" w:cs="Arial"/>
          <w:sz w:val="28"/>
          <w:szCs w:val="28"/>
          <w:lang w:val="en-JM"/>
        </w:rPr>
        <w:t>%</w:t>
      </w:r>
      <w:r w:rsidR="007C23E9" w:rsidRPr="00B64388">
        <w:rPr>
          <w:rFonts w:ascii="Arial" w:eastAsia="Times New Roman" w:hAnsi="Arial" w:cs="Arial"/>
          <w:sz w:val="28"/>
          <w:szCs w:val="28"/>
          <w:lang w:val="en-JM"/>
        </w:rPr>
        <w:t xml:space="preserve">, </w:t>
      </w:r>
      <w:r w:rsidRPr="00B64388">
        <w:rPr>
          <w:rFonts w:ascii="Arial" w:eastAsia="Times New Roman" w:hAnsi="Arial" w:cs="Arial"/>
          <w:sz w:val="28"/>
          <w:szCs w:val="28"/>
          <w:lang w:val="en-JM"/>
        </w:rPr>
        <w:t>inflation at May was 10.9%, followed by 10.9% at June and 10.2% at July. Declining international commodity prices</w:t>
      </w:r>
      <w:r w:rsidR="00E82968" w:rsidRPr="00B64388">
        <w:rPr>
          <w:rFonts w:ascii="Arial" w:eastAsia="Times New Roman" w:hAnsi="Arial" w:cs="Arial"/>
          <w:sz w:val="28"/>
          <w:szCs w:val="28"/>
          <w:lang w:val="en-JM"/>
        </w:rPr>
        <w:t>,</w:t>
      </w:r>
      <w:r w:rsidRPr="00B64388">
        <w:rPr>
          <w:rFonts w:ascii="Arial" w:eastAsia="Times New Roman" w:hAnsi="Arial" w:cs="Arial"/>
          <w:sz w:val="28"/>
          <w:szCs w:val="28"/>
          <w:lang w:val="en-JM"/>
        </w:rPr>
        <w:t xml:space="preserve"> relative stability in the exchange rate</w:t>
      </w:r>
      <w:r w:rsidR="002426AF" w:rsidRPr="00B64388">
        <w:rPr>
          <w:rFonts w:ascii="Arial" w:eastAsia="Times New Roman" w:hAnsi="Arial" w:cs="Arial"/>
          <w:sz w:val="28"/>
          <w:szCs w:val="28"/>
          <w:lang w:val="en-JM"/>
        </w:rPr>
        <w:t>,</w:t>
      </w:r>
      <w:r w:rsidR="00E82968" w:rsidRPr="00B64388">
        <w:rPr>
          <w:rFonts w:ascii="Arial" w:eastAsia="Times New Roman" w:hAnsi="Arial" w:cs="Arial"/>
          <w:sz w:val="28"/>
          <w:szCs w:val="28"/>
          <w:lang w:val="en-JM"/>
        </w:rPr>
        <w:t xml:space="preserve"> tighter </w:t>
      </w:r>
      <w:r w:rsidR="00004A56" w:rsidRPr="00B64388">
        <w:rPr>
          <w:rFonts w:ascii="Arial" w:eastAsia="Times New Roman" w:hAnsi="Arial" w:cs="Arial"/>
          <w:sz w:val="28"/>
          <w:szCs w:val="28"/>
          <w:lang w:val="en-JM"/>
        </w:rPr>
        <w:t>liquidity management by BOJ and higher interest rates</w:t>
      </w:r>
      <w:r w:rsidRPr="00B64388">
        <w:rPr>
          <w:rFonts w:ascii="Arial" w:eastAsia="Times New Roman" w:hAnsi="Arial" w:cs="Arial"/>
          <w:sz w:val="28"/>
          <w:szCs w:val="28"/>
          <w:lang w:val="en-JM"/>
        </w:rPr>
        <w:t xml:space="preserve">, have allowed for this trend. </w:t>
      </w:r>
    </w:p>
    <w:p w14:paraId="36056E59" w14:textId="77777777" w:rsidR="007F255E" w:rsidRPr="00B64388" w:rsidRDefault="007F255E" w:rsidP="00F37D76">
      <w:pPr>
        <w:spacing w:after="240" w:line="360" w:lineRule="auto"/>
        <w:ind w:firstLine="720"/>
        <w:jc w:val="both"/>
        <w:rPr>
          <w:rFonts w:ascii="Arial" w:eastAsia="Times New Roman" w:hAnsi="Arial" w:cs="Arial"/>
          <w:sz w:val="28"/>
          <w:szCs w:val="28"/>
          <w:lang w:val="en-JM"/>
        </w:rPr>
      </w:pPr>
      <w:r w:rsidRPr="00B64388">
        <w:rPr>
          <w:rFonts w:ascii="Arial" w:eastAsia="Times New Roman" w:hAnsi="Arial" w:cs="Arial"/>
          <w:sz w:val="28"/>
          <w:szCs w:val="28"/>
          <w:lang w:val="en-JM"/>
        </w:rPr>
        <w:t>Notwithstanding</w:t>
      </w:r>
      <w:r w:rsidR="00814ABF" w:rsidRPr="00B64388">
        <w:rPr>
          <w:rFonts w:ascii="Arial" w:eastAsia="Times New Roman" w:hAnsi="Arial" w:cs="Arial"/>
          <w:sz w:val="28"/>
          <w:szCs w:val="28"/>
          <w:lang w:val="en-JM"/>
        </w:rPr>
        <w:t xml:space="preserve"> th</w:t>
      </w:r>
      <w:r w:rsidR="00930146" w:rsidRPr="00B64388">
        <w:rPr>
          <w:rFonts w:ascii="Arial" w:eastAsia="Times New Roman" w:hAnsi="Arial" w:cs="Arial"/>
          <w:sz w:val="28"/>
          <w:szCs w:val="28"/>
          <w:lang w:val="en-JM"/>
        </w:rPr>
        <w:t>is</w:t>
      </w:r>
      <w:r w:rsidR="00814ABF" w:rsidRPr="00B64388">
        <w:rPr>
          <w:rFonts w:ascii="Arial" w:eastAsia="Times New Roman" w:hAnsi="Arial" w:cs="Arial"/>
          <w:sz w:val="28"/>
          <w:szCs w:val="28"/>
          <w:lang w:val="en-JM"/>
        </w:rPr>
        <w:t xml:space="preserve"> good </w:t>
      </w:r>
      <w:r w:rsidR="00930146" w:rsidRPr="00B64388">
        <w:rPr>
          <w:rFonts w:ascii="Arial" w:eastAsia="Times New Roman" w:hAnsi="Arial" w:cs="Arial"/>
          <w:sz w:val="28"/>
          <w:szCs w:val="28"/>
          <w:lang w:val="en-JM"/>
        </w:rPr>
        <w:t>trend</w:t>
      </w:r>
      <w:r w:rsidRPr="00B64388">
        <w:rPr>
          <w:rFonts w:ascii="Arial" w:eastAsia="Times New Roman" w:hAnsi="Arial" w:cs="Arial"/>
          <w:sz w:val="28"/>
          <w:szCs w:val="28"/>
          <w:lang w:val="en-JM"/>
        </w:rPr>
        <w:t xml:space="preserve">, </w:t>
      </w:r>
      <w:r w:rsidR="00270F84" w:rsidRPr="00B64388">
        <w:rPr>
          <w:rFonts w:ascii="Arial" w:eastAsia="Times New Roman" w:hAnsi="Arial" w:cs="Arial"/>
          <w:sz w:val="28"/>
          <w:szCs w:val="28"/>
          <w:lang w:val="en-JM"/>
        </w:rPr>
        <w:t>the Bank believes these conditions have not sufficiently solidified to ensure that inflation is sustainably on a downward path</w:t>
      </w:r>
      <w:r w:rsidR="002426AF" w:rsidRPr="00B64388">
        <w:rPr>
          <w:rFonts w:ascii="Arial" w:eastAsia="Times New Roman" w:hAnsi="Arial" w:cs="Arial"/>
          <w:sz w:val="28"/>
          <w:szCs w:val="28"/>
          <w:lang w:val="en-JM"/>
        </w:rPr>
        <w:t xml:space="preserve">. There </w:t>
      </w:r>
      <w:r w:rsidR="00270F84" w:rsidRPr="00B64388">
        <w:rPr>
          <w:rFonts w:ascii="Arial" w:eastAsia="Times New Roman" w:hAnsi="Arial" w:cs="Arial"/>
          <w:sz w:val="28"/>
          <w:szCs w:val="28"/>
          <w:lang w:val="en-JM"/>
        </w:rPr>
        <w:t xml:space="preserve">remains </w:t>
      </w:r>
      <w:r w:rsidR="002426AF" w:rsidRPr="00B64388">
        <w:rPr>
          <w:rFonts w:ascii="Arial" w:eastAsia="Times New Roman" w:hAnsi="Arial" w:cs="Arial"/>
          <w:sz w:val="28"/>
          <w:szCs w:val="28"/>
          <w:lang w:val="en-JM"/>
        </w:rPr>
        <w:t xml:space="preserve">some significant </w:t>
      </w:r>
      <w:r w:rsidR="00270F84" w:rsidRPr="00B64388">
        <w:rPr>
          <w:rFonts w:ascii="Arial" w:eastAsia="Times New Roman" w:hAnsi="Arial" w:cs="Arial"/>
          <w:sz w:val="28"/>
          <w:szCs w:val="28"/>
          <w:lang w:val="en-JM"/>
        </w:rPr>
        <w:t>risk</w:t>
      </w:r>
      <w:r w:rsidR="002426AF" w:rsidRPr="00B64388">
        <w:rPr>
          <w:rFonts w:ascii="Arial" w:eastAsia="Times New Roman" w:hAnsi="Arial" w:cs="Arial"/>
          <w:sz w:val="28"/>
          <w:szCs w:val="28"/>
          <w:lang w:val="en-JM"/>
        </w:rPr>
        <w:t>s</w:t>
      </w:r>
      <w:r w:rsidR="00270F84" w:rsidRPr="00B64388">
        <w:rPr>
          <w:rFonts w:ascii="Arial" w:eastAsia="Times New Roman" w:hAnsi="Arial" w:cs="Arial"/>
          <w:sz w:val="28"/>
          <w:szCs w:val="28"/>
          <w:lang w:val="en-JM"/>
        </w:rPr>
        <w:t xml:space="preserve"> of reversal. </w:t>
      </w:r>
      <w:r w:rsidR="007A44ED" w:rsidRPr="00B64388">
        <w:rPr>
          <w:rFonts w:ascii="Arial" w:eastAsia="Times New Roman" w:hAnsi="Arial" w:cs="Arial"/>
          <w:sz w:val="28"/>
          <w:szCs w:val="28"/>
          <w:lang w:val="en-JM"/>
        </w:rPr>
        <w:t>The fragile geo-political situation with Russia, Ukraine and Europe in general with its knock-on commodity price risks, cannot be ignored.</w:t>
      </w:r>
      <w:r w:rsidR="007C23E9" w:rsidRPr="00B64388">
        <w:rPr>
          <w:rFonts w:ascii="Arial" w:eastAsia="Times New Roman" w:hAnsi="Arial" w:cs="Arial"/>
          <w:sz w:val="28"/>
          <w:szCs w:val="28"/>
          <w:lang w:val="en-JM"/>
        </w:rPr>
        <w:t xml:space="preserve"> </w:t>
      </w:r>
      <w:r w:rsidR="00E306C1" w:rsidRPr="00B64388">
        <w:rPr>
          <w:rFonts w:ascii="Arial" w:eastAsia="Times New Roman" w:hAnsi="Arial" w:cs="Arial"/>
          <w:sz w:val="28"/>
          <w:szCs w:val="28"/>
          <w:lang w:val="en-JM"/>
        </w:rPr>
        <w:t>T</w:t>
      </w:r>
      <w:r w:rsidR="00814ABF" w:rsidRPr="00B64388">
        <w:rPr>
          <w:rFonts w:ascii="Arial" w:eastAsia="Times New Roman" w:hAnsi="Arial" w:cs="Arial"/>
          <w:color w:val="000000"/>
          <w:sz w:val="28"/>
          <w:szCs w:val="28"/>
          <w:lang w:val="en-JM"/>
        </w:rPr>
        <w:t xml:space="preserve">he reported labour shortages in selected sectors of the economy and pressures from our recent inflation experiences carry the potential for future wage adjustments </w:t>
      </w:r>
      <w:r w:rsidR="00930146" w:rsidRPr="00B64388">
        <w:rPr>
          <w:rFonts w:ascii="Arial" w:eastAsia="Times New Roman" w:hAnsi="Arial" w:cs="Arial"/>
          <w:color w:val="000000"/>
          <w:sz w:val="28"/>
          <w:szCs w:val="28"/>
          <w:lang w:val="en-JM"/>
        </w:rPr>
        <w:t>that could be inflationary</w:t>
      </w:r>
      <w:r w:rsidR="007C23E9" w:rsidRPr="00B64388">
        <w:rPr>
          <w:rFonts w:ascii="Arial" w:eastAsia="Times New Roman" w:hAnsi="Arial" w:cs="Arial"/>
          <w:color w:val="000000"/>
          <w:sz w:val="28"/>
          <w:szCs w:val="28"/>
          <w:lang w:val="en-JM"/>
        </w:rPr>
        <w:t xml:space="preserve">. </w:t>
      </w:r>
      <w:r w:rsidR="00D74AC9" w:rsidRPr="00B64388">
        <w:rPr>
          <w:rFonts w:ascii="Arial" w:eastAsia="Times New Roman" w:hAnsi="Arial" w:cs="Arial"/>
          <w:sz w:val="28"/>
          <w:szCs w:val="28"/>
          <w:lang w:val="en-JM"/>
        </w:rPr>
        <w:t>Finally,</w:t>
      </w:r>
      <w:r w:rsidR="008E15FE" w:rsidRPr="00B64388">
        <w:rPr>
          <w:rFonts w:ascii="Arial" w:eastAsia="Times New Roman" w:hAnsi="Arial" w:cs="Arial"/>
          <w:sz w:val="28"/>
          <w:szCs w:val="28"/>
          <w:lang w:val="en-JM"/>
        </w:rPr>
        <w:t xml:space="preserve"> </w:t>
      </w:r>
      <w:r w:rsidRPr="00B64388">
        <w:rPr>
          <w:rFonts w:ascii="Arial" w:eastAsia="Times New Roman" w:hAnsi="Arial" w:cs="Arial"/>
          <w:sz w:val="28"/>
          <w:szCs w:val="28"/>
          <w:lang w:val="en-JM"/>
        </w:rPr>
        <w:t xml:space="preserve">high inflation in the US and other trading partners has prompted a programme of faster monetary </w:t>
      </w:r>
      <w:r w:rsidRPr="00B64388">
        <w:rPr>
          <w:rFonts w:ascii="Arial" w:eastAsia="Times New Roman" w:hAnsi="Arial" w:cs="Arial"/>
          <w:sz w:val="28"/>
          <w:szCs w:val="28"/>
          <w:lang w:val="en-JM"/>
        </w:rPr>
        <w:lastRenderedPageBreak/>
        <w:t>adjustment</w:t>
      </w:r>
      <w:r w:rsidR="006146A3" w:rsidRPr="00B64388">
        <w:rPr>
          <w:rFonts w:ascii="Arial" w:eastAsia="Times New Roman" w:hAnsi="Arial" w:cs="Arial"/>
          <w:sz w:val="28"/>
          <w:szCs w:val="28"/>
          <w:lang w:val="en-JM"/>
        </w:rPr>
        <w:t xml:space="preserve"> which could </w:t>
      </w:r>
      <w:r w:rsidRPr="00B64388">
        <w:rPr>
          <w:rFonts w:ascii="Arial" w:eastAsia="Times New Roman" w:hAnsi="Arial" w:cs="Arial"/>
          <w:sz w:val="28"/>
          <w:szCs w:val="28"/>
          <w:lang w:val="en-JM"/>
        </w:rPr>
        <w:t>cause capital outflows from Jamaica and exchange rate depreciation if domestic monetary policy is not properly aligned.</w:t>
      </w:r>
    </w:p>
    <w:p w14:paraId="09672EA4" w14:textId="77777777" w:rsidR="003F489F" w:rsidRPr="00B64388" w:rsidRDefault="003F489F" w:rsidP="00F37D76">
      <w:pPr>
        <w:spacing w:after="240" w:line="360" w:lineRule="auto"/>
        <w:jc w:val="both"/>
        <w:rPr>
          <w:rFonts w:ascii="Arial" w:eastAsia="Times New Roman" w:hAnsi="Arial" w:cs="Arial"/>
          <w:sz w:val="28"/>
          <w:szCs w:val="28"/>
          <w:lang w:val="en-JM"/>
        </w:rPr>
      </w:pPr>
      <w:r w:rsidRPr="00B64388">
        <w:rPr>
          <w:rFonts w:ascii="Arial" w:eastAsia="Times New Roman" w:hAnsi="Arial" w:cs="Arial"/>
          <w:b/>
          <w:bCs/>
          <w:color w:val="000000"/>
          <w:sz w:val="28"/>
          <w:szCs w:val="28"/>
          <w:lang w:val="en-JM"/>
        </w:rPr>
        <w:t>Monetary Policy Decision</w:t>
      </w:r>
      <w:r w:rsidR="00857644" w:rsidRPr="00B64388">
        <w:rPr>
          <w:rFonts w:ascii="Arial" w:eastAsia="Times New Roman" w:hAnsi="Arial" w:cs="Arial"/>
          <w:b/>
          <w:bCs/>
          <w:color w:val="000000"/>
          <w:sz w:val="28"/>
          <w:szCs w:val="28"/>
          <w:lang w:val="en-JM"/>
        </w:rPr>
        <w:t>s</w:t>
      </w:r>
    </w:p>
    <w:p w14:paraId="5675090B" w14:textId="77777777" w:rsidR="003F489F" w:rsidRPr="00B64388" w:rsidRDefault="007A44ED" w:rsidP="00F37D76">
      <w:pPr>
        <w:spacing w:after="240" w:line="360" w:lineRule="auto"/>
        <w:ind w:firstLine="720"/>
        <w:jc w:val="both"/>
        <w:rPr>
          <w:rFonts w:ascii="Arial" w:eastAsia="Times New Roman" w:hAnsi="Arial" w:cs="Arial"/>
          <w:sz w:val="28"/>
          <w:szCs w:val="28"/>
          <w:lang w:val="en-JM"/>
        </w:rPr>
      </w:pPr>
      <w:r w:rsidRPr="00B64388">
        <w:rPr>
          <w:rFonts w:ascii="Arial" w:eastAsia="Times New Roman" w:hAnsi="Arial" w:cs="Arial"/>
          <w:color w:val="000000"/>
          <w:sz w:val="28"/>
          <w:szCs w:val="28"/>
          <w:lang w:val="en-JM"/>
        </w:rPr>
        <w:t>These  are some of the factors t</w:t>
      </w:r>
      <w:r w:rsidR="003F489F" w:rsidRPr="00B64388">
        <w:rPr>
          <w:rFonts w:ascii="Arial" w:eastAsia="Times New Roman" w:hAnsi="Arial" w:cs="Arial"/>
          <w:color w:val="000000"/>
          <w:sz w:val="28"/>
          <w:szCs w:val="28"/>
          <w:lang w:val="en-JM"/>
        </w:rPr>
        <w:t xml:space="preserve">he Bank’s Monetary Policy Committee (MPC) </w:t>
      </w:r>
      <w:r w:rsidR="00585A4B" w:rsidRPr="00B64388">
        <w:rPr>
          <w:rFonts w:ascii="Arial" w:eastAsia="Times New Roman" w:hAnsi="Arial" w:cs="Arial"/>
          <w:color w:val="000000"/>
          <w:sz w:val="28"/>
          <w:szCs w:val="28"/>
          <w:lang w:val="en-JM"/>
        </w:rPr>
        <w:t xml:space="preserve">considered when it </w:t>
      </w:r>
      <w:r w:rsidR="003F489F" w:rsidRPr="00B64388">
        <w:rPr>
          <w:rFonts w:ascii="Arial" w:eastAsia="Times New Roman" w:hAnsi="Arial" w:cs="Arial"/>
          <w:color w:val="000000"/>
          <w:sz w:val="28"/>
          <w:szCs w:val="28"/>
          <w:lang w:val="en-JM"/>
        </w:rPr>
        <w:t xml:space="preserve">met </w:t>
      </w:r>
      <w:r w:rsidR="0059639F" w:rsidRPr="00B64388">
        <w:rPr>
          <w:rFonts w:ascii="Arial" w:eastAsia="Times New Roman" w:hAnsi="Arial" w:cs="Arial"/>
          <w:color w:val="000000"/>
          <w:sz w:val="28"/>
          <w:szCs w:val="28"/>
          <w:lang w:val="en-JM"/>
        </w:rPr>
        <w:t>on 16</w:t>
      </w:r>
      <w:r w:rsidR="003F489F" w:rsidRPr="00B64388">
        <w:rPr>
          <w:rFonts w:ascii="Arial" w:eastAsia="Times New Roman" w:hAnsi="Arial" w:cs="Arial"/>
          <w:color w:val="000000"/>
          <w:sz w:val="28"/>
          <w:szCs w:val="28"/>
          <w:lang w:val="en-JM"/>
        </w:rPr>
        <w:t xml:space="preserve"> and 1</w:t>
      </w:r>
      <w:r w:rsidR="00E427A0" w:rsidRPr="00B64388">
        <w:rPr>
          <w:rFonts w:ascii="Arial" w:eastAsia="Times New Roman" w:hAnsi="Arial" w:cs="Arial"/>
          <w:color w:val="000000"/>
          <w:sz w:val="28"/>
          <w:szCs w:val="28"/>
          <w:lang w:val="en-JM"/>
        </w:rPr>
        <w:t>7</w:t>
      </w:r>
      <w:r w:rsidR="003F489F" w:rsidRPr="00B64388">
        <w:rPr>
          <w:rFonts w:ascii="Arial" w:eastAsia="Times New Roman" w:hAnsi="Arial" w:cs="Arial"/>
          <w:color w:val="000000"/>
          <w:sz w:val="28"/>
          <w:szCs w:val="28"/>
          <w:lang w:val="en-JM"/>
        </w:rPr>
        <w:t xml:space="preserve"> </w:t>
      </w:r>
      <w:r w:rsidR="00E427A0" w:rsidRPr="00B64388">
        <w:rPr>
          <w:rFonts w:ascii="Arial" w:eastAsia="Times New Roman" w:hAnsi="Arial" w:cs="Arial"/>
          <w:color w:val="000000"/>
          <w:sz w:val="28"/>
          <w:szCs w:val="28"/>
          <w:lang w:val="en-JM"/>
        </w:rPr>
        <w:t>August</w:t>
      </w:r>
      <w:r w:rsidR="003F489F" w:rsidRPr="00B64388">
        <w:rPr>
          <w:rFonts w:ascii="Arial" w:eastAsia="Times New Roman" w:hAnsi="Arial" w:cs="Arial"/>
          <w:color w:val="000000"/>
          <w:sz w:val="28"/>
          <w:szCs w:val="28"/>
          <w:lang w:val="en-JM"/>
        </w:rPr>
        <w:t xml:space="preserve"> 2022 and voted to increase the policy rate by a further 50 bps to </w:t>
      </w:r>
      <w:r w:rsidR="008F11BB" w:rsidRPr="00B64388">
        <w:rPr>
          <w:rFonts w:ascii="Arial" w:eastAsia="Times New Roman" w:hAnsi="Arial" w:cs="Arial"/>
          <w:color w:val="000000"/>
          <w:sz w:val="28"/>
          <w:szCs w:val="28"/>
          <w:lang w:val="en-JM"/>
        </w:rPr>
        <w:t>6</w:t>
      </w:r>
      <w:r w:rsidR="003F489F" w:rsidRPr="00B64388">
        <w:rPr>
          <w:rFonts w:ascii="Arial" w:eastAsia="Times New Roman" w:hAnsi="Arial" w:cs="Arial"/>
          <w:color w:val="000000"/>
          <w:sz w:val="28"/>
          <w:szCs w:val="28"/>
          <w:lang w:val="en-JM"/>
        </w:rPr>
        <w:t>.</w:t>
      </w:r>
      <w:r w:rsidR="008F11BB" w:rsidRPr="00B64388">
        <w:rPr>
          <w:rFonts w:ascii="Arial" w:eastAsia="Times New Roman" w:hAnsi="Arial" w:cs="Arial"/>
          <w:color w:val="000000"/>
          <w:sz w:val="28"/>
          <w:szCs w:val="28"/>
          <w:lang w:val="en-JM"/>
        </w:rPr>
        <w:t>0</w:t>
      </w:r>
      <w:r w:rsidR="003F489F" w:rsidRPr="00B64388">
        <w:rPr>
          <w:rFonts w:ascii="Arial" w:eastAsia="Times New Roman" w:hAnsi="Arial" w:cs="Arial"/>
          <w:color w:val="000000"/>
          <w:sz w:val="28"/>
          <w:szCs w:val="28"/>
          <w:lang w:val="en-JM"/>
        </w:rPr>
        <w:t xml:space="preserve"> per cent, effective</w:t>
      </w:r>
      <w:r w:rsidR="00E427A0" w:rsidRPr="00B64388">
        <w:rPr>
          <w:rFonts w:ascii="Arial" w:eastAsia="Times New Roman" w:hAnsi="Arial" w:cs="Arial"/>
          <w:color w:val="000000"/>
          <w:sz w:val="28"/>
          <w:szCs w:val="28"/>
          <w:lang w:val="en-JM"/>
        </w:rPr>
        <w:t xml:space="preserve"> </w:t>
      </w:r>
      <w:r w:rsidR="009541C5" w:rsidRPr="00B64388">
        <w:rPr>
          <w:rFonts w:ascii="Arial" w:eastAsia="Times New Roman" w:hAnsi="Arial" w:cs="Arial"/>
          <w:color w:val="000000"/>
          <w:sz w:val="28"/>
          <w:szCs w:val="28"/>
          <w:lang w:val="en-JM"/>
        </w:rPr>
        <w:t>today</w:t>
      </w:r>
      <w:r w:rsidR="00B50424" w:rsidRPr="00B64388">
        <w:rPr>
          <w:rFonts w:ascii="Arial" w:eastAsia="Times New Roman" w:hAnsi="Arial" w:cs="Arial"/>
          <w:color w:val="000000"/>
          <w:sz w:val="28"/>
          <w:szCs w:val="28"/>
          <w:lang w:val="en-JM"/>
        </w:rPr>
        <w:t>,</w:t>
      </w:r>
      <w:r w:rsidR="003F489F" w:rsidRPr="00B64388">
        <w:rPr>
          <w:rFonts w:ascii="Arial" w:eastAsia="Times New Roman" w:hAnsi="Arial" w:cs="Arial"/>
          <w:color w:val="000000"/>
          <w:sz w:val="28"/>
          <w:szCs w:val="28"/>
          <w:lang w:val="en-JM"/>
        </w:rPr>
        <w:t xml:space="preserve"> </w:t>
      </w:r>
      <w:r w:rsidR="00E427A0" w:rsidRPr="00B64388">
        <w:rPr>
          <w:rFonts w:ascii="Arial" w:eastAsia="Times New Roman" w:hAnsi="Arial" w:cs="Arial"/>
          <w:color w:val="000000"/>
          <w:sz w:val="28"/>
          <w:szCs w:val="28"/>
          <w:lang w:val="en-JM"/>
        </w:rPr>
        <w:t>1</w:t>
      </w:r>
      <w:r w:rsidR="009541C5" w:rsidRPr="00B64388">
        <w:rPr>
          <w:rFonts w:ascii="Arial" w:eastAsia="Times New Roman" w:hAnsi="Arial" w:cs="Arial"/>
          <w:color w:val="000000"/>
          <w:sz w:val="28"/>
          <w:szCs w:val="28"/>
          <w:lang w:val="en-JM"/>
        </w:rPr>
        <w:t>9</w:t>
      </w:r>
      <w:r w:rsidR="003F489F" w:rsidRPr="00B64388">
        <w:rPr>
          <w:rFonts w:ascii="Arial" w:eastAsia="Times New Roman" w:hAnsi="Arial" w:cs="Arial"/>
          <w:color w:val="000000"/>
          <w:sz w:val="28"/>
          <w:szCs w:val="28"/>
          <w:lang w:val="en-JM"/>
        </w:rPr>
        <w:t xml:space="preserve"> </w:t>
      </w:r>
      <w:r w:rsidR="00E427A0" w:rsidRPr="00B64388">
        <w:rPr>
          <w:rFonts w:ascii="Arial" w:eastAsia="Times New Roman" w:hAnsi="Arial" w:cs="Arial"/>
          <w:color w:val="000000"/>
          <w:sz w:val="28"/>
          <w:szCs w:val="28"/>
          <w:lang w:val="en-JM"/>
        </w:rPr>
        <w:t>August</w:t>
      </w:r>
      <w:r w:rsidR="003F489F" w:rsidRPr="00B64388">
        <w:rPr>
          <w:rFonts w:ascii="Arial" w:eastAsia="Times New Roman" w:hAnsi="Arial" w:cs="Arial"/>
          <w:color w:val="000000"/>
          <w:sz w:val="28"/>
          <w:szCs w:val="28"/>
          <w:lang w:val="en-JM"/>
        </w:rPr>
        <w:t xml:space="preserve"> 2022.</w:t>
      </w:r>
    </w:p>
    <w:p w14:paraId="62E8BF10" w14:textId="77777777" w:rsidR="003F489F" w:rsidRPr="00B64388" w:rsidRDefault="003F489F" w:rsidP="00F37D76">
      <w:pPr>
        <w:spacing w:after="240" w:line="360" w:lineRule="auto"/>
        <w:ind w:firstLine="720"/>
        <w:jc w:val="both"/>
        <w:rPr>
          <w:rFonts w:ascii="Arial" w:eastAsia="Times New Roman" w:hAnsi="Arial" w:cs="Arial"/>
          <w:sz w:val="28"/>
          <w:szCs w:val="28"/>
          <w:lang w:val="en-JM"/>
        </w:rPr>
      </w:pPr>
      <w:r w:rsidRPr="00B64388">
        <w:rPr>
          <w:rFonts w:ascii="Arial" w:eastAsia="Times New Roman" w:hAnsi="Arial" w:cs="Arial"/>
          <w:color w:val="000000"/>
          <w:sz w:val="28"/>
          <w:szCs w:val="28"/>
          <w:lang w:val="en-JM"/>
        </w:rPr>
        <w:t>The Committee also decided to continue pursuing other measures to contain Jamaican dollar liquidity expansion and to maintain relative stability in the FX market. The MPC noted that the Bank’s strong international reserves reinforces its ability to support the foreign exchange market, as needed.</w:t>
      </w:r>
    </w:p>
    <w:p w14:paraId="15F6C160" w14:textId="77777777" w:rsidR="003F489F" w:rsidRPr="00B64388" w:rsidRDefault="003F489F" w:rsidP="00F37D76">
      <w:pPr>
        <w:spacing w:after="240" w:line="360" w:lineRule="auto"/>
        <w:ind w:right="182" w:firstLine="720"/>
        <w:jc w:val="both"/>
        <w:rPr>
          <w:rFonts w:ascii="Arial" w:eastAsia="Times New Roman" w:hAnsi="Arial" w:cs="Arial"/>
          <w:color w:val="000000"/>
          <w:sz w:val="28"/>
          <w:szCs w:val="28"/>
          <w:lang w:val="en-JM"/>
        </w:rPr>
      </w:pPr>
      <w:r w:rsidRPr="00B64388">
        <w:rPr>
          <w:rFonts w:ascii="Arial" w:eastAsia="Times New Roman" w:hAnsi="Arial" w:cs="Arial"/>
          <w:color w:val="000000"/>
          <w:sz w:val="28"/>
          <w:szCs w:val="28"/>
          <w:lang w:val="en-JM"/>
        </w:rPr>
        <w:t xml:space="preserve">This current decision has resulted in a cumulative increase in the policy rate of </w:t>
      </w:r>
      <w:r w:rsidR="00E427A0" w:rsidRPr="00B64388">
        <w:rPr>
          <w:rFonts w:ascii="Arial" w:eastAsia="Times New Roman" w:hAnsi="Arial" w:cs="Arial"/>
          <w:color w:val="000000"/>
          <w:sz w:val="28"/>
          <w:szCs w:val="28"/>
          <w:lang w:val="en-JM"/>
        </w:rPr>
        <w:t>55</w:t>
      </w:r>
      <w:r w:rsidRPr="00B64388">
        <w:rPr>
          <w:rFonts w:ascii="Arial" w:eastAsia="Times New Roman" w:hAnsi="Arial" w:cs="Arial"/>
          <w:color w:val="000000"/>
          <w:sz w:val="28"/>
          <w:szCs w:val="28"/>
          <w:lang w:val="en-JM"/>
        </w:rPr>
        <w:t xml:space="preserve">0 basis points since October 2021 and has taken the policy rate to </w:t>
      </w:r>
      <w:r w:rsidR="00BC31A2" w:rsidRPr="00B64388">
        <w:rPr>
          <w:rFonts w:ascii="Arial" w:eastAsia="Times New Roman" w:hAnsi="Arial" w:cs="Arial"/>
          <w:color w:val="000000"/>
          <w:sz w:val="28"/>
          <w:szCs w:val="28"/>
          <w:lang w:val="en-JM"/>
        </w:rPr>
        <w:t xml:space="preserve">a </w:t>
      </w:r>
      <w:r w:rsidRPr="00B64388">
        <w:rPr>
          <w:rFonts w:ascii="Arial" w:eastAsia="Times New Roman" w:hAnsi="Arial" w:cs="Arial"/>
          <w:color w:val="000000"/>
          <w:sz w:val="28"/>
          <w:szCs w:val="28"/>
          <w:lang w:val="en-JM"/>
        </w:rPr>
        <w:t xml:space="preserve">level that the Committee considers appropriate. </w:t>
      </w:r>
      <w:r w:rsidR="00BC31A2" w:rsidRPr="00B64388">
        <w:rPr>
          <w:rFonts w:ascii="Arial" w:eastAsia="Times New Roman" w:hAnsi="Arial" w:cs="Arial"/>
          <w:color w:val="000000"/>
          <w:sz w:val="28"/>
          <w:szCs w:val="28"/>
          <w:lang w:val="en-JM"/>
        </w:rPr>
        <w:t xml:space="preserve">If incoming data </w:t>
      </w:r>
      <w:r w:rsidR="007C23E9" w:rsidRPr="00B64388">
        <w:rPr>
          <w:rFonts w:ascii="Arial" w:eastAsia="Times New Roman" w:hAnsi="Arial" w:cs="Arial"/>
          <w:color w:val="000000"/>
          <w:sz w:val="28"/>
          <w:szCs w:val="28"/>
          <w:lang w:val="en-JM"/>
        </w:rPr>
        <w:t xml:space="preserve">on inflation </w:t>
      </w:r>
      <w:r w:rsidR="00BC31A2" w:rsidRPr="00B64388">
        <w:rPr>
          <w:rFonts w:ascii="Arial" w:eastAsia="Times New Roman" w:hAnsi="Arial" w:cs="Arial"/>
          <w:color w:val="000000"/>
          <w:sz w:val="28"/>
          <w:szCs w:val="28"/>
          <w:lang w:val="en-JM"/>
        </w:rPr>
        <w:t xml:space="preserve">continues to track downwards, </w:t>
      </w:r>
      <w:r w:rsidR="006B46B6" w:rsidRPr="00B64388">
        <w:rPr>
          <w:rFonts w:ascii="Arial" w:eastAsia="Times New Roman" w:hAnsi="Arial" w:cs="Arial"/>
          <w:color w:val="000000"/>
          <w:sz w:val="28"/>
          <w:szCs w:val="28"/>
          <w:lang w:val="en-JM"/>
        </w:rPr>
        <w:t>and the monetary adjustments i</w:t>
      </w:r>
      <w:r w:rsidR="001E7AF6" w:rsidRPr="00B64388">
        <w:rPr>
          <w:rFonts w:ascii="Arial" w:eastAsia="Times New Roman" w:hAnsi="Arial" w:cs="Arial"/>
          <w:color w:val="000000"/>
          <w:sz w:val="28"/>
          <w:szCs w:val="28"/>
          <w:lang w:val="en-JM"/>
        </w:rPr>
        <w:t xml:space="preserve">n the US in particular </w:t>
      </w:r>
      <w:r w:rsidR="00A04987" w:rsidRPr="00B64388">
        <w:rPr>
          <w:rFonts w:ascii="Arial" w:eastAsia="Times New Roman" w:hAnsi="Arial" w:cs="Arial"/>
          <w:color w:val="000000"/>
          <w:sz w:val="28"/>
          <w:szCs w:val="28"/>
          <w:lang w:val="en-JM"/>
        </w:rPr>
        <w:t>are</w:t>
      </w:r>
      <w:r w:rsidR="001E7AF6" w:rsidRPr="00B64388">
        <w:rPr>
          <w:rFonts w:ascii="Arial" w:eastAsia="Times New Roman" w:hAnsi="Arial" w:cs="Arial"/>
          <w:color w:val="000000"/>
          <w:sz w:val="28"/>
          <w:szCs w:val="28"/>
          <w:lang w:val="en-JM"/>
        </w:rPr>
        <w:t xml:space="preserve"> as expected, </w:t>
      </w:r>
      <w:r w:rsidR="00BC31A2" w:rsidRPr="00B64388">
        <w:rPr>
          <w:rFonts w:ascii="Arial" w:eastAsia="Times New Roman" w:hAnsi="Arial" w:cs="Arial"/>
          <w:color w:val="000000"/>
          <w:sz w:val="28"/>
          <w:szCs w:val="28"/>
          <w:lang w:val="en-JM"/>
        </w:rPr>
        <w:t xml:space="preserve">the MPC agreed </w:t>
      </w:r>
      <w:r w:rsidR="007C23E9" w:rsidRPr="00B64388">
        <w:rPr>
          <w:rFonts w:ascii="Arial" w:eastAsia="Times New Roman" w:hAnsi="Arial" w:cs="Arial"/>
          <w:color w:val="000000"/>
          <w:sz w:val="28"/>
          <w:szCs w:val="28"/>
          <w:lang w:val="en-JM"/>
        </w:rPr>
        <w:t xml:space="preserve">that </w:t>
      </w:r>
      <w:r w:rsidR="00BC31A2" w:rsidRPr="00B64388">
        <w:rPr>
          <w:rFonts w:ascii="Arial" w:eastAsia="Times New Roman" w:hAnsi="Arial" w:cs="Arial"/>
          <w:color w:val="000000"/>
          <w:sz w:val="28"/>
          <w:szCs w:val="28"/>
          <w:lang w:val="en-JM"/>
        </w:rPr>
        <w:t xml:space="preserve">it could pause </w:t>
      </w:r>
      <w:r w:rsidR="007C23E9" w:rsidRPr="00B64388">
        <w:rPr>
          <w:rFonts w:ascii="Arial" w:eastAsia="Times New Roman" w:hAnsi="Arial" w:cs="Arial"/>
          <w:color w:val="000000"/>
          <w:sz w:val="28"/>
          <w:szCs w:val="28"/>
          <w:lang w:val="en-JM"/>
        </w:rPr>
        <w:t>its policy</w:t>
      </w:r>
      <w:r w:rsidR="00BC31A2" w:rsidRPr="00B64388">
        <w:rPr>
          <w:rFonts w:ascii="Arial" w:eastAsia="Times New Roman" w:hAnsi="Arial" w:cs="Arial"/>
          <w:color w:val="000000"/>
          <w:sz w:val="28"/>
          <w:szCs w:val="28"/>
          <w:lang w:val="en-JM"/>
        </w:rPr>
        <w:t xml:space="preserve"> rate increases.</w:t>
      </w:r>
    </w:p>
    <w:p w14:paraId="36653D51" w14:textId="77777777" w:rsidR="00784595" w:rsidRPr="00B64388" w:rsidRDefault="006D0DC1" w:rsidP="00F37D76">
      <w:pPr>
        <w:spacing w:after="240" w:line="360" w:lineRule="auto"/>
        <w:ind w:right="182" w:firstLine="720"/>
        <w:jc w:val="both"/>
        <w:rPr>
          <w:rFonts w:ascii="Arial" w:eastAsia="Times New Roman" w:hAnsi="Arial" w:cs="Arial"/>
          <w:color w:val="000000"/>
          <w:sz w:val="28"/>
          <w:szCs w:val="28"/>
          <w:lang w:val="en-JM"/>
        </w:rPr>
      </w:pPr>
      <w:r w:rsidRPr="00B64388">
        <w:rPr>
          <w:rFonts w:ascii="Arial" w:eastAsia="Times New Roman" w:hAnsi="Arial" w:cs="Arial"/>
          <w:color w:val="000000"/>
          <w:sz w:val="28"/>
          <w:szCs w:val="28"/>
          <w:lang w:val="en-JM"/>
        </w:rPr>
        <w:t>Complementing</w:t>
      </w:r>
      <w:r w:rsidR="00784595" w:rsidRPr="00B64388">
        <w:rPr>
          <w:rFonts w:ascii="Arial" w:eastAsia="Times New Roman" w:hAnsi="Arial" w:cs="Arial"/>
          <w:color w:val="000000"/>
          <w:sz w:val="28"/>
          <w:szCs w:val="28"/>
          <w:lang w:val="en-JM"/>
        </w:rPr>
        <w:t xml:space="preserve"> the policy rate increases, </w:t>
      </w:r>
      <w:r w:rsidR="002426AF" w:rsidRPr="00B64388">
        <w:rPr>
          <w:rFonts w:ascii="Arial" w:eastAsia="Times New Roman" w:hAnsi="Arial" w:cs="Arial"/>
          <w:color w:val="000000"/>
          <w:sz w:val="28"/>
          <w:szCs w:val="28"/>
          <w:lang w:val="en-JM"/>
        </w:rPr>
        <w:t>the Bank adjusted the Net Open Position limits for deposit taking institutions (or DTIs for short)</w:t>
      </w:r>
      <w:r w:rsidR="003C7557" w:rsidRPr="00B64388">
        <w:rPr>
          <w:rFonts w:ascii="Arial" w:eastAsia="Times New Roman" w:hAnsi="Arial" w:cs="Arial"/>
          <w:color w:val="000000"/>
          <w:sz w:val="28"/>
          <w:szCs w:val="28"/>
          <w:lang w:val="en-JM"/>
        </w:rPr>
        <w:t xml:space="preserve"> and sold approximately US$678 million to the foreign exchange market since October 2021, </w:t>
      </w:r>
      <w:r w:rsidR="00530C44" w:rsidRPr="00B64388">
        <w:rPr>
          <w:rFonts w:ascii="Arial" w:eastAsia="Times New Roman" w:hAnsi="Arial" w:cs="Arial"/>
          <w:color w:val="000000"/>
          <w:sz w:val="28"/>
          <w:szCs w:val="28"/>
          <w:lang w:val="en-JM"/>
        </w:rPr>
        <w:t>a</w:t>
      </w:r>
      <w:r w:rsidR="000D30E1" w:rsidRPr="00B64388">
        <w:rPr>
          <w:rFonts w:ascii="Arial" w:eastAsia="Times New Roman" w:hAnsi="Arial" w:cs="Arial"/>
          <w:color w:val="000000"/>
          <w:sz w:val="28"/>
          <w:szCs w:val="28"/>
          <w:lang w:val="en-JM"/>
        </w:rPr>
        <w:t>pproximately 30 per</w:t>
      </w:r>
      <w:r w:rsidR="00E04596" w:rsidRPr="00B64388">
        <w:rPr>
          <w:rFonts w:ascii="Arial" w:eastAsia="Times New Roman" w:hAnsi="Arial" w:cs="Arial"/>
          <w:color w:val="000000"/>
          <w:sz w:val="28"/>
          <w:szCs w:val="28"/>
          <w:lang w:val="en-JM"/>
        </w:rPr>
        <w:t xml:space="preserve"> </w:t>
      </w:r>
      <w:r w:rsidR="000D30E1" w:rsidRPr="00B64388">
        <w:rPr>
          <w:rFonts w:ascii="Arial" w:eastAsia="Times New Roman" w:hAnsi="Arial" w:cs="Arial"/>
          <w:color w:val="000000"/>
          <w:sz w:val="28"/>
          <w:szCs w:val="28"/>
          <w:lang w:val="en-JM"/>
        </w:rPr>
        <w:t xml:space="preserve">cent </w:t>
      </w:r>
      <w:r w:rsidR="00530C44" w:rsidRPr="00B64388">
        <w:rPr>
          <w:rFonts w:ascii="Arial" w:eastAsia="Times New Roman" w:hAnsi="Arial" w:cs="Arial"/>
          <w:color w:val="000000"/>
          <w:sz w:val="28"/>
          <w:szCs w:val="28"/>
          <w:lang w:val="en-JM"/>
        </w:rPr>
        <w:t xml:space="preserve">than </w:t>
      </w:r>
      <w:r w:rsidR="003C7557" w:rsidRPr="00B64388">
        <w:rPr>
          <w:rFonts w:ascii="Arial" w:eastAsia="Times New Roman" w:hAnsi="Arial" w:cs="Arial"/>
          <w:color w:val="000000"/>
          <w:sz w:val="28"/>
          <w:szCs w:val="28"/>
          <w:lang w:val="en-JM"/>
        </w:rPr>
        <w:t xml:space="preserve">the amount sold </w:t>
      </w:r>
      <w:r w:rsidR="00E04596" w:rsidRPr="00B64388">
        <w:rPr>
          <w:rFonts w:ascii="Arial" w:eastAsia="Times New Roman" w:hAnsi="Arial" w:cs="Arial"/>
          <w:noProof/>
          <w:color w:val="000000"/>
          <w:sz w:val="28"/>
          <w:szCs w:val="28"/>
        </w:rPr>
        <mc:AlternateContent>
          <mc:Choice Requires="wps">
            <w:drawing>
              <wp:anchor distT="45720" distB="45720" distL="114300" distR="114300" simplePos="0" relativeHeight="251659264" behindDoc="0" locked="0" layoutInCell="1" allowOverlap="1" wp14:anchorId="270B0CBA" wp14:editId="6DF4079F">
                <wp:simplePos x="0" y="0"/>
                <wp:positionH relativeFrom="column">
                  <wp:posOffset>4334364</wp:posOffset>
                </wp:positionH>
                <wp:positionV relativeFrom="paragraph">
                  <wp:posOffset>1441743</wp:posOffset>
                </wp:positionV>
                <wp:extent cx="761365" cy="390525"/>
                <wp:effectExtent l="0" t="0" r="1968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90525"/>
                        </a:xfrm>
                        <a:prstGeom prst="rect">
                          <a:avLst/>
                        </a:prstGeom>
                        <a:solidFill>
                          <a:srgbClr val="FFFFFF"/>
                        </a:solidFill>
                        <a:ln w="9525">
                          <a:solidFill>
                            <a:srgbClr val="000000"/>
                          </a:solidFill>
                          <a:miter lim="800000"/>
                          <a:headEnd/>
                          <a:tailEnd/>
                        </a:ln>
                      </wps:spPr>
                      <wps:txbx>
                        <w:txbxContent>
                          <w:p w14:paraId="7D064025" w14:textId="77777777" w:rsidR="00E04596" w:rsidRDefault="00E04596">
                            <w:r>
                              <w:t>1.96B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70B0CBA" id="_x0000_t202" coordsize="21600,21600" o:spt="202" path="m,l,21600r21600,l21600,xe">
                <v:stroke joinstyle="miter"/>
                <v:path gradientshapeok="t" o:connecttype="rect"/>
              </v:shapetype>
              <v:shape id="Text Box 2" o:spid="_x0000_s1026" type="#_x0000_t202" style="position:absolute;left:0;text-align:left;margin-left:341.3pt;margin-top:113.5pt;width:59.95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">
                <v:textbox>
                  <w:txbxContent>
                    <w:p w14:paraId="7D064025" w14:textId="77777777" w:rsidR="00E04596" w:rsidRDefault="00E04596">
                      <w:r>
                        <w:t>1.96B</w:t>
                      </w:r>
                    </w:p>
                  </w:txbxContent>
                </v:textbox>
                <w10:wrap type="square"/>
              </v:shape>
            </w:pict>
          </mc:Fallback>
        </mc:AlternateContent>
      </w:r>
      <w:r w:rsidR="00E52DF2" w:rsidRPr="00B64388">
        <w:rPr>
          <w:rFonts w:ascii="Arial" w:eastAsia="Times New Roman" w:hAnsi="Arial" w:cs="Arial"/>
          <w:color w:val="000000"/>
          <w:sz w:val="28"/>
          <w:szCs w:val="28"/>
          <w:lang w:val="en-JM"/>
        </w:rPr>
        <w:t xml:space="preserve">over </w:t>
      </w:r>
      <w:r w:rsidR="003C7557" w:rsidRPr="00B64388">
        <w:rPr>
          <w:rFonts w:ascii="Arial" w:eastAsia="Times New Roman" w:hAnsi="Arial" w:cs="Arial"/>
          <w:color w:val="000000"/>
          <w:sz w:val="28"/>
          <w:szCs w:val="28"/>
          <w:lang w:val="en-JM"/>
        </w:rPr>
        <w:t>the corresponding period</w:t>
      </w:r>
      <w:r w:rsidR="00530C44" w:rsidRPr="00B64388">
        <w:rPr>
          <w:rFonts w:ascii="Arial" w:eastAsia="Times New Roman" w:hAnsi="Arial" w:cs="Arial"/>
          <w:color w:val="000000"/>
          <w:sz w:val="28"/>
          <w:szCs w:val="28"/>
          <w:lang w:val="en-JM"/>
        </w:rPr>
        <w:t xml:space="preserve"> </w:t>
      </w:r>
      <w:r w:rsidR="00E52DF2" w:rsidRPr="00B64388">
        <w:rPr>
          <w:rFonts w:ascii="Arial" w:eastAsia="Times New Roman" w:hAnsi="Arial" w:cs="Arial"/>
          <w:color w:val="000000"/>
          <w:sz w:val="28"/>
          <w:szCs w:val="28"/>
          <w:lang w:val="en-JM"/>
        </w:rPr>
        <w:t>to July 2021</w:t>
      </w:r>
      <w:r w:rsidR="003C7557" w:rsidRPr="00B64388">
        <w:rPr>
          <w:rFonts w:ascii="Arial" w:eastAsia="Times New Roman" w:hAnsi="Arial" w:cs="Arial"/>
          <w:color w:val="000000"/>
          <w:sz w:val="28"/>
          <w:szCs w:val="28"/>
          <w:lang w:val="en-JM"/>
        </w:rPr>
        <w:t xml:space="preserve">. </w:t>
      </w:r>
      <w:r w:rsidR="00A04987" w:rsidRPr="00B64388">
        <w:rPr>
          <w:rFonts w:ascii="Arial" w:eastAsia="Times New Roman" w:hAnsi="Arial" w:cs="Arial"/>
          <w:color w:val="000000"/>
          <w:sz w:val="28"/>
          <w:szCs w:val="28"/>
          <w:lang w:val="en-JM"/>
        </w:rPr>
        <w:t xml:space="preserve">For the same period, </w:t>
      </w:r>
      <w:r w:rsidR="003C7557" w:rsidRPr="00B64388">
        <w:rPr>
          <w:rFonts w:ascii="Arial" w:eastAsia="Times New Roman" w:hAnsi="Arial" w:cs="Arial"/>
          <w:color w:val="000000"/>
          <w:sz w:val="28"/>
          <w:szCs w:val="28"/>
          <w:lang w:val="en-JM"/>
        </w:rPr>
        <w:t xml:space="preserve">the Bank </w:t>
      </w:r>
      <w:r w:rsidR="00A04987" w:rsidRPr="00B64388">
        <w:rPr>
          <w:rFonts w:ascii="Arial" w:eastAsia="Times New Roman" w:hAnsi="Arial" w:cs="Arial"/>
          <w:color w:val="000000"/>
          <w:sz w:val="28"/>
          <w:szCs w:val="28"/>
          <w:lang w:val="en-JM"/>
        </w:rPr>
        <w:t xml:space="preserve">bought US$1,964M, principally </w:t>
      </w:r>
      <w:r w:rsidR="003C7557" w:rsidRPr="00B64388">
        <w:rPr>
          <w:rFonts w:ascii="Arial" w:eastAsia="Times New Roman" w:hAnsi="Arial" w:cs="Arial"/>
          <w:color w:val="000000"/>
          <w:sz w:val="28"/>
          <w:szCs w:val="28"/>
          <w:lang w:val="en-JM"/>
        </w:rPr>
        <w:t>through the surrender system</w:t>
      </w:r>
      <w:r w:rsidR="00A04987" w:rsidRPr="00B64388">
        <w:rPr>
          <w:rFonts w:ascii="Arial" w:eastAsia="Times New Roman" w:hAnsi="Arial" w:cs="Arial"/>
          <w:color w:val="000000"/>
          <w:sz w:val="28"/>
          <w:szCs w:val="28"/>
          <w:lang w:val="en-JM"/>
        </w:rPr>
        <w:t>.</w:t>
      </w:r>
      <w:r w:rsidR="00784595" w:rsidRPr="00B64388">
        <w:rPr>
          <w:rFonts w:ascii="Arial" w:eastAsia="Times New Roman" w:hAnsi="Arial" w:cs="Arial"/>
          <w:color w:val="000000"/>
          <w:sz w:val="28"/>
          <w:szCs w:val="28"/>
          <w:lang w:val="en-JM"/>
        </w:rPr>
        <w:t xml:space="preserve"> </w:t>
      </w:r>
    </w:p>
    <w:p w14:paraId="64EE242A" w14:textId="77777777" w:rsidR="000D19B5" w:rsidRPr="00B64388" w:rsidRDefault="000D19B5" w:rsidP="00F37D76">
      <w:pPr>
        <w:spacing w:after="240" w:line="360" w:lineRule="auto"/>
        <w:ind w:right="182" w:firstLine="720"/>
        <w:jc w:val="both"/>
        <w:rPr>
          <w:rFonts w:ascii="Arial" w:eastAsia="Times New Roman" w:hAnsi="Arial" w:cs="Arial"/>
          <w:color w:val="000000"/>
          <w:sz w:val="28"/>
          <w:szCs w:val="28"/>
          <w:lang w:val="en-JM"/>
        </w:rPr>
      </w:pPr>
    </w:p>
    <w:p w14:paraId="1EEE5400" w14:textId="77777777" w:rsidR="006F13B6" w:rsidRPr="00B64388" w:rsidRDefault="003F489F" w:rsidP="00F37D76">
      <w:pPr>
        <w:spacing w:after="240" w:line="360" w:lineRule="auto"/>
        <w:ind w:right="182" w:firstLine="720"/>
        <w:jc w:val="both"/>
        <w:rPr>
          <w:rFonts w:ascii="Arial" w:eastAsia="Times New Roman" w:hAnsi="Arial" w:cs="Arial"/>
          <w:color w:val="000000"/>
          <w:sz w:val="28"/>
          <w:szCs w:val="28"/>
          <w:lang w:val="en-JM"/>
        </w:rPr>
      </w:pPr>
      <w:r w:rsidRPr="00B64388">
        <w:rPr>
          <w:rFonts w:ascii="Arial" w:eastAsia="Times New Roman" w:hAnsi="Arial" w:cs="Arial"/>
          <w:color w:val="000000"/>
          <w:sz w:val="28"/>
          <w:szCs w:val="28"/>
          <w:lang w:val="en-JM"/>
        </w:rPr>
        <w:t>These policy actions contributed to the maintenance of stability in the exchange rate since the start of November last year</w:t>
      </w:r>
      <w:r w:rsidR="006F13B6" w:rsidRPr="00B64388">
        <w:rPr>
          <w:rFonts w:ascii="Arial" w:eastAsia="Times New Roman" w:hAnsi="Arial" w:cs="Arial"/>
          <w:color w:val="000000"/>
          <w:sz w:val="28"/>
          <w:szCs w:val="28"/>
          <w:lang w:val="en-JM"/>
        </w:rPr>
        <w:t>.</w:t>
      </w:r>
      <w:r w:rsidRPr="00B64388">
        <w:rPr>
          <w:rFonts w:ascii="Arial" w:eastAsia="Times New Roman" w:hAnsi="Arial" w:cs="Arial"/>
          <w:color w:val="000000"/>
          <w:sz w:val="28"/>
          <w:szCs w:val="28"/>
          <w:lang w:val="en-JM"/>
        </w:rPr>
        <w:t xml:space="preserve"> </w:t>
      </w:r>
      <w:r w:rsidR="008841ED" w:rsidRPr="00B64388">
        <w:rPr>
          <w:rFonts w:ascii="Arial" w:eastAsia="Times New Roman" w:hAnsi="Arial" w:cs="Arial"/>
          <w:color w:val="000000"/>
          <w:sz w:val="28"/>
          <w:szCs w:val="28"/>
          <w:lang w:val="en-JM"/>
        </w:rPr>
        <w:t>Without these actions, imported inflation and hence the final prices faced by consumers would have been much higher</w:t>
      </w:r>
      <w:r w:rsidR="00784595" w:rsidRPr="00B64388">
        <w:rPr>
          <w:rFonts w:ascii="Arial" w:eastAsia="Times New Roman" w:hAnsi="Arial" w:cs="Arial"/>
          <w:color w:val="000000"/>
          <w:sz w:val="28"/>
          <w:szCs w:val="28"/>
          <w:lang w:val="en-JM"/>
        </w:rPr>
        <w:t>.</w:t>
      </w:r>
      <w:r w:rsidRPr="00B64388">
        <w:rPr>
          <w:rFonts w:ascii="Arial" w:eastAsia="Times New Roman" w:hAnsi="Arial" w:cs="Arial"/>
          <w:color w:val="000000"/>
          <w:sz w:val="28"/>
          <w:szCs w:val="28"/>
          <w:lang w:val="en-JM"/>
        </w:rPr>
        <w:t xml:space="preserve"> </w:t>
      </w:r>
    </w:p>
    <w:p w14:paraId="38193754" w14:textId="77777777" w:rsidR="003F489F" w:rsidRPr="00B64388" w:rsidRDefault="003F489F" w:rsidP="00F37D76">
      <w:pPr>
        <w:spacing w:after="240" w:line="360" w:lineRule="auto"/>
        <w:ind w:right="182" w:firstLine="720"/>
        <w:jc w:val="both"/>
        <w:rPr>
          <w:rFonts w:ascii="Arial" w:eastAsia="Times New Roman" w:hAnsi="Arial" w:cs="Arial"/>
          <w:sz w:val="28"/>
          <w:szCs w:val="28"/>
          <w:lang w:val="en-JM"/>
        </w:rPr>
      </w:pPr>
      <w:r w:rsidRPr="00B64388">
        <w:rPr>
          <w:rFonts w:ascii="Arial" w:eastAsia="Times New Roman" w:hAnsi="Arial" w:cs="Arial"/>
          <w:color w:val="000000"/>
          <w:sz w:val="28"/>
          <w:szCs w:val="28"/>
          <w:lang w:val="en-JM"/>
        </w:rPr>
        <w:t xml:space="preserve">The Bank expects that these measures will </w:t>
      </w:r>
      <w:r w:rsidR="00474895" w:rsidRPr="00B64388">
        <w:rPr>
          <w:rFonts w:ascii="Arial" w:eastAsia="Times New Roman" w:hAnsi="Arial" w:cs="Arial"/>
          <w:color w:val="000000"/>
          <w:sz w:val="28"/>
          <w:szCs w:val="28"/>
          <w:lang w:val="en-JM"/>
        </w:rPr>
        <w:t>continue to cause</w:t>
      </w:r>
      <w:r w:rsidRPr="00B64388">
        <w:rPr>
          <w:rFonts w:ascii="Arial" w:eastAsia="Times New Roman" w:hAnsi="Arial" w:cs="Arial"/>
          <w:color w:val="000000"/>
          <w:sz w:val="28"/>
          <w:szCs w:val="28"/>
          <w:lang w:val="en-JM"/>
        </w:rPr>
        <w:t xml:space="preserve"> interest rates on deposits and loans </w:t>
      </w:r>
      <w:r w:rsidR="00474895" w:rsidRPr="00B64388">
        <w:rPr>
          <w:rFonts w:ascii="Arial" w:eastAsia="Times New Roman" w:hAnsi="Arial" w:cs="Arial"/>
          <w:color w:val="000000"/>
          <w:sz w:val="28"/>
          <w:szCs w:val="28"/>
          <w:lang w:val="en-JM"/>
        </w:rPr>
        <w:t xml:space="preserve">to </w:t>
      </w:r>
      <w:r w:rsidRPr="00B64388">
        <w:rPr>
          <w:rFonts w:ascii="Arial" w:eastAsia="Times New Roman" w:hAnsi="Arial" w:cs="Arial"/>
          <w:color w:val="000000"/>
          <w:sz w:val="28"/>
          <w:szCs w:val="28"/>
          <w:lang w:val="en-JM"/>
        </w:rPr>
        <w:t xml:space="preserve">rise further, making savings in Jamaican dollars more attractive, relative to foreign currency assets and borrowing in Jamaican dollars more expensive. In </w:t>
      </w:r>
      <w:r w:rsidR="001B7F7C" w:rsidRPr="00B64388">
        <w:rPr>
          <w:rFonts w:ascii="Arial" w:eastAsia="Times New Roman" w:hAnsi="Arial" w:cs="Arial"/>
          <w:color w:val="000000"/>
          <w:sz w:val="28"/>
          <w:szCs w:val="28"/>
          <w:lang w:val="en-JM"/>
        </w:rPr>
        <w:t>turn, these measures will</w:t>
      </w:r>
      <w:r w:rsidRPr="00B64388">
        <w:rPr>
          <w:rFonts w:ascii="Arial" w:eastAsia="Times New Roman" w:hAnsi="Arial" w:cs="Arial"/>
          <w:color w:val="000000"/>
          <w:sz w:val="28"/>
          <w:szCs w:val="28"/>
          <w:lang w:val="en-JM"/>
        </w:rPr>
        <w:t xml:space="preserve"> help to reduce the demand for foreign </w:t>
      </w:r>
      <w:r w:rsidR="00404449" w:rsidRPr="00B64388">
        <w:rPr>
          <w:rFonts w:ascii="Arial" w:eastAsia="Times New Roman" w:hAnsi="Arial" w:cs="Arial"/>
          <w:color w:val="000000"/>
          <w:sz w:val="28"/>
          <w:szCs w:val="28"/>
          <w:lang w:val="en-JM"/>
        </w:rPr>
        <w:t xml:space="preserve">currency, </w:t>
      </w:r>
      <w:r w:rsidRPr="00B64388">
        <w:rPr>
          <w:rFonts w:ascii="Arial" w:eastAsia="Times New Roman" w:hAnsi="Arial" w:cs="Arial"/>
          <w:color w:val="000000"/>
          <w:sz w:val="28"/>
          <w:szCs w:val="28"/>
          <w:lang w:val="en-JM"/>
        </w:rPr>
        <w:t>leading to continued stability in the exchange rate. </w:t>
      </w:r>
    </w:p>
    <w:p w14:paraId="3A6C5540" w14:textId="77777777" w:rsidR="003F489F" w:rsidRPr="00B64388" w:rsidRDefault="003F489F" w:rsidP="00F37D76">
      <w:pPr>
        <w:spacing w:after="240" w:line="360" w:lineRule="auto"/>
        <w:ind w:firstLine="720"/>
        <w:jc w:val="both"/>
        <w:rPr>
          <w:rFonts w:ascii="Arial" w:eastAsia="Times New Roman" w:hAnsi="Arial" w:cs="Arial"/>
          <w:color w:val="000000"/>
          <w:sz w:val="28"/>
          <w:szCs w:val="28"/>
          <w:lang w:val="en-JM"/>
        </w:rPr>
      </w:pPr>
      <w:r w:rsidRPr="00B64388">
        <w:rPr>
          <w:rFonts w:ascii="Arial" w:eastAsia="Times New Roman" w:hAnsi="Arial" w:cs="Arial"/>
          <w:color w:val="000000"/>
          <w:sz w:val="28"/>
          <w:szCs w:val="28"/>
          <w:lang w:val="en-JM"/>
        </w:rPr>
        <w:t>Let me now go into more details about recent developments in inflation and the inflation outlook.</w:t>
      </w:r>
    </w:p>
    <w:p w14:paraId="690F59E1" w14:textId="77777777" w:rsidR="00FB2934" w:rsidRPr="00B64388" w:rsidRDefault="00FB2934" w:rsidP="00F37D76">
      <w:pPr>
        <w:spacing w:after="240" w:line="360" w:lineRule="auto"/>
        <w:jc w:val="both"/>
        <w:rPr>
          <w:rFonts w:ascii="Arial" w:eastAsia="Times New Roman" w:hAnsi="Arial" w:cs="Arial"/>
          <w:b/>
          <w:bCs/>
          <w:color w:val="000000"/>
          <w:sz w:val="28"/>
          <w:szCs w:val="28"/>
          <w:lang w:val="en-JM"/>
        </w:rPr>
      </w:pPr>
    </w:p>
    <w:p w14:paraId="0CF80095" w14:textId="77777777" w:rsidR="003F489F" w:rsidRPr="00B64388" w:rsidRDefault="003F489F" w:rsidP="00F37D76">
      <w:pPr>
        <w:spacing w:after="240" w:line="360" w:lineRule="auto"/>
        <w:jc w:val="both"/>
        <w:rPr>
          <w:rFonts w:ascii="Arial" w:eastAsia="Times New Roman" w:hAnsi="Arial" w:cs="Arial"/>
          <w:sz w:val="28"/>
          <w:szCs w:val="28"/>
          <w:lang w:val="en-JM"/>
        </w:rPr>
      </w:pPr>
      <w:r w:rsidRPr="00B64388">
        <w:rPr>
          <w:rFonts w:ascii="Arial" w:eastAsia="Times New Roman" w:hAnsi="Arial" w:cs="Arial"/>
          <w:b/>
          <w:bCs/>
          <w:color w:val="000000"/>
          <w:sz w:val="28"/>
          <w:szCs w:val="28"/>
          <w:lang w:val="en-JM"/>
        </w:rPr>
        <w:t>Inflation </w:t>
      </w:r>
    </w:p>
    <w:p w14:paraId="213B0090" w14:textId="77777777" w:rsidR="001258E9" w:rsidRPr="00B64388" w:rsidRDefault="00F927AB" w:rsidP="001258E9">
      <w:pPr>
        <w:spacing w:after="240" w:line="360" w:lineRule="auto"/>
        <w:ind w:firstLine="720"/>
        <w:jc w:val="both"/>
        <w:rPr>
          <w:rFonts w:ascii="Arial" w:eastAsia="Times New Roman" w:hAnsi="Arial" w:cs="Arial"/>
          <w:bCs/>
          <w:color w:val="000000"/>
          <w:sz w:val="28"/>
          <w:szCs w:val="28"/>
          <w:lang w:val="en-JM"/>
        </w:rPr>
      </w:pPr>
      <w:r w:rsidRPr="00B64388">
        <w:rPr>
          <w:rFonts w:ascii="Arial" w:eastAsia="Times New Roman" w:hAnsi="Arial" w:cs="Arial"/>
          <w:color w:val="000000"/>
          <w:sz w:val="28"/>
          <w:szCs w:val="28"/>
          <w:lang w:val="en-JM"/>
        </w:rPr>
        <w:t>The Statistical Institute of Jamaica announced on Monday that t</w:t>
      </w:r>
      <w:r w:rsidR="003F489F" w:rsidRPr="00B64388">
        <w:rPr>
          <w:rFonts w:ascii="Arial" w:eastAsia="Times New Roman" w:hAnsi="Arial" w:cs="Arial"/>
          <w:color w:val="000000"/>
          <w:sz w:val="28"/>
          <w:szCs w:val="28"/>
          <w:lang w:val="en-JM"/>
        </w:rPr>
        <w:t xml:space="preserve">he inflation rate for the 12 months leading up to </w:t>
      </w:r>
      <w:r w:rsidR="00E25C55" w:rsidRPr="00B64388">
        <w:rPr>
          <w:rFonts w:ascii="Arial" w:eastAsia="Times New Roman" w:hAnsi="Arial" w:cs="Arial"/>
          <w:color w:val="000000"/>
          <w:sz w:val="28"/>
          <w:szCs w:val="28"/>
          <w:lang w:val="en-JM"/>
        </w:rPr>
        <w:t>July</w:t>
      </w:r>
      <w:r w:rsidR="003F489F" w:rsidRPr="00B64388">
        <w:rPr>
          <w:rFonts w:ascii="Arial" w:eastAsia="Times New Roman" w:hAnsi="Arial" w:cs="Arial"/>
          <w:color w:val="000000"/>
          <w:sz w:val="28"/>
          <w:szCs w:val="28"/>
          <w:lang w:val="en-JM"/>
        </w:rPr>
        <w:t xml:space="preserve"> 2022 was 1</w:t>
      </w:r>
      <w:r w:rsidR="00E25C55" w:rsidRPr="00B64388">
        <w:rPr>
          <w:rFonts w:ascii="Arial" w:eastAsia="Times New Roman" w:hAnsi="Arial" w:cs="Arial"/>
          <w:color w:val="000000"/>
          <w:sz w:val="28"/>
          <w:szCs w:val="28"/>
          <w:lang w:val="en-JM"/>
        </w:rPr>
        <w:t>0.</w:t>
      </w:r>
      <w:r w:rsidR="00D05207" w:rsidRPr="00B64388">
        <w:rPr>
          <w:rFonts w:ascii="Arial" w:eastAsia="Times New Roman" w:hAnsi="Arial" w:cs="Arial"/>
          <w:color w:val="000000"/>
          <w:sz w:val="28"/>
          <w:szCs w:val="28"/>
          <w:lang w:val="en-JM"/>
        </w:rPr>
        <w:t>2</w:t>
      </w:r>
      <w:r w:rsidR="003F489F" w:rsidRPr="00B64388">
        <w:rPr>
          <w:rFonts w:ascii="Arial" w:eastAsia="Times New Roman" w:hAnsi="Arial" w:cs="Arial"/>
          <w:color w:val="000000"/>
          <w:sz w:val="28"/>
          <w:szCs w:val="28"/>
          <w:lang w:val="en-JM"/>
        </w:rPr>
        <w:t xml:space="preserve"> per cent</w:t>
      </w:r>
      <w:r w:rsidR="007F5AC8" w:rsidRPr="00B64388">
        <w:rPr>
          <w:rFonts w:ascii="Arial" w:eastAsia="Times New Roman" w:hAnsi="Arial" w:cs="Arial"/>
          <w:color w:val="000000"/>
          <w:sz w:val="28"/>
          <w:szCs w:val="28"/>
          <w:lang w:val="en-JM"/>
        </w:rPr>
        <w:t>.</w:t>
      </w:r>
      <w:r w:rsidR="001258E9" w:rsidRPr="00B64388">
        <w:rPr>
          <w:rFonts w:ascii="Arial" w:eastAsia="Times New Roman" w:hAnsi="Arial" w:cs="Arial"/>
          <w:color w:val="000000"/>
          <w:sz w:val="28"/>
          <w:szCs w:val="28"/>
          <w:lang w:val="en-JM"/>
        </w:rPr>
        <w:t xml:space="preserve"> </w:t>
      </w:r>
      <w:r w:rsidR="00A04987" w:rsidRPr="00B64388">
        <w:rPr>
          <w:rFonts w:ascii="Arial" w:eastAsia="Times New Roman" w:hAnsi="Arial" w:cs="Arial"/>
          <w:color w:val="000000"/>
          <w:sz w:val="28"/>
          <w:szCs w:val="28"/>
          <w:lang w:val="en-JM"/>
        </w:rPr>
        <w:t>Over the remainder of the year, t</w:t>
      </w:r>
      <w:r w:rsidR="003C7557" w:rsidRPr="00B64388">
        <w:rPr>
          <w:rFonts w:ascii="Arial" w:eastAsia="Times New Roman" w:hAnsi="Arial" w:cs="Arial"/>
          <w:color w:val="000000"/>
          <w:sz w:val="28"/>
          <w:szCs w:val="28"/>
          <w:lang w:val="en-JM"/>
        </w:rPr>
        <w:t xml:space="preserve">he Bank </w:t>
      </w:r>
      <w:r w:rsidR="001258E9" w:rsidRPr="00B64388">
        <w:rPr>
          <w:rFonts w:ascii="Arial" w:eastAsia="Times New Roman" w:hAnsi="Arial" w:cs="Arial"/>
          <w:sz w:val="28"/>
          <w:szCs w:val="28"/>
          <w:lang w:val="en-JM"/>
        </w:rPr>
        <w:t>forecast</w:t>
      </w:r>
      <w:r w:rsidR="003C7557" w:rsidRPr="00B64388">
        <w:rPr>
          <w:rFonts w:ascii="Arial" w:eastAsia="Times New Roman" w:hAnsi="Arial" w:cs="Arial"/>
          <w:sz w:val="28"/>
          <w:szCs w:val="28"/>
          <w:lang w:val="en-JM"/>
        </w:rPr>
        <w:t>s inflation</w:t>
      </w:r>
      <w:r w:rsidR="001258E9" w:rsidRPr="00B64388">
        <w:rPr>
          <w:rFonts w:ascii="Arial" w:eastAsia="Times New Roman" w:hAnsi="Arial" w:cs="Arial"/>
          <w:sz w:val="28"/>
          <w:szCs w:val="28"/>
          <w:lang w:val="en-JM"/>
        </w:rPr>
        <w:t xml:space="preserve"> to </w:t>
      </w:r>
      <w:r w:rsidR="003860B7" w:rsidRPr="00B64388">
        <w:rPr>
          <w:rFonts w:ascii="Arial" w:eastAsia="Times New Roman" w:hAnsi="Arial" w:cs="Arial"/>
          <w:sz w:val="28"/>
          <w:szCs w:val="28"/>
          <w:lang w:val="en-JM"/>
        </w:rPr>
        <w:t>continue to moderate</w:t>
      </w:r>
      <w:r w:rsidR="001258E9" w:rsidRPr="00B64388">
        <w:rPr>
          <w:rFonts w:ascii="Arial" w:eastAsia="Times New Roman" w:hAnsi="Arial" w:cs="Arial"/>
          <w:sz w:val="28"/>
          <w:szCs w:val="28"/>
          <w:lang w:val="en-JM"/>
        </w:rPr>
        <w:t>, consistent with consensus forecast for a fall in commodity prices. This means that</w:t>
      </w:r>
      <w:r w:rsidR="003766C2" w:rsidRPr="00B64388">
        <w:rPr>
          <w:rFonts w:ascii="Arial" w:eastAsia="Times New Roman" w:hAnsi="Arial" w:cs="Arial"/>
          <w:sz w:val="28"/>
          <w:szCs w:val="28"/>
          <w:lang w:val="en-JM"/>
        </w:rPr>
        <w:t>, assuming no additional shocks,</w:t>
      </w:r>
      <w:r w:rsidR="001258E9" w:rsidRPr="00B64388">
        <w:rPr>
          <w:rFonts w:ascii="Arial" w:eastAsia="Times New Roman" w:hAnsi="Arial" w:cs="Arial"/>
          <w:sz w:val="28"/>
          <w:szCs w:val="28"/>
          <w:lang w:val="en-JM"/>
        </w:rPr>
        <w:t xml:space="preserve"> the public should see annual inflation rates </w:t>
      </w:r>
      <w:r w:rsidR="00A04987" w:rsidRPr="00B64388">
        <w:rPr>
          <w:rFonts w:ascii="Arial" w:eastAsia="Times New Roman" w:hAnsi="Arial" w:cs="Arial"/>
          <w:sz w:val="28"/>
          <w:szCs w:val="28"/>
          <w:lang w:val="en-JM"/>
        </w:rPr>
        <w:t xml:space="preserve">trend towards </w:t>
      </w:r>
      <w:r w:rsidR="001258E9" w:rsidRPr="00B64388">
        <w:rPr>
          <w:rFonts w:ascii="Arial" w:eastAsia="Times New Roman" w:hAnsi="Arial" w:cs="Arial"/>
          <w:sz w:val="28"/>
          <w:szCs w:val="28"/>
          <w:lang w:val="en-JM"/>
        </w:rPr>
        <w:t xml:space="preserve">9% for the remainder of 2022. Inflation should start to decline from these levels in early 2023, </w:t>
      </w:r>
      <w:r w:rsidR="003C7557" w:rsidRPr="00B64388">
        <w:rPr>
          <w:rFonts w:ascii="Arial" w:eastAsia="Times New Roman" w:hAnsi="Arial" w:cs="Arial"/>
          <w:sz w:val="28"/>
          <w:szCs w:val="28"/>
          <w:lang w:val="en-JM"/>
        </w:rPr>
        <w:t xml:space="preserve">and fall within the 4-6% range by December 2023, </w:t>
      </w:r>
      <w:r w:rsidR="001258E9" w:rsidRPr="00B64388">
        <w:rPr>
          <w:rFonts w:ascii="Arial" w:eastAsia="Times New Roman" w:hAnsi="Arial" w:cs="Arial"/>
          <w:sz w:val="28"/>
          <w:szCs w:val="28"/>
          <w:lang w:val="en-JM"/>
        </w:rPr>
        <w:t>as long as tensions between Russia and Ukraine do not escalate and inflation among Jamaica’s trading partners continue to fall.</w:t>
      </w:r>
    </w:p>
    <w:p w14:paraId="6F916322" w14:textId="77777777" w:rsidR="003F489F" w:rsidRPr="00B64388" w:rsidRDefault="003F489F" w:rsidP="00F37D76">
      <w:pPr>
        <w:spacing w:after="240" w:line="360" w:lineRule="auto"/>
        <w:ind w:firstLine="720"/>
        <w:jc w:val="both"/>
        <w:rPr>
          <w:rFonts w:ascii="Arial" w:eastAsia="Times New Roman" w:hAnsi="Arial" w:cs="Arial"/>
          <w:sz w:val="28"/>
          <w:szCs w:val="28"/>
          <w:lang w:val="en-JM"/>
        </w:rPr>
      </w:pPr>
      <w:r w:rsidRPr="00B64388">
        <w:rPr>
          <w:rFonts w:ascii="Arial" w:eastAsia="Times New Roman" w:hAnsi="Arial" w:cs="Arial"/>
          <w:color w:val="000000"/>
          <w:sz w:val="28"/>
          <w:szCs w:val="28"/>
          <w:lang w:val="en-JM"/>
        </w:rPr>
        <w:t xml:space="preserve">The risks to the inflation forecast are assessed to be </w:t>
      </w:r>
      <w:r w:rsidR="00707DE5" w:rsidRPr="00B64388">
        <w:rPr>
          <w:rFonts w:ascii="Arial" w:eastAsia="Times New Roman" w:hAnsi="Arial" w:cs="Arial"/>
          <w:color w:val="000000"/>
          <w:sz w:val="28"/>
          <w:szCs w:val="28"/>
          <w:lang w:val="en-JM"/>
        </w:rPr>
        <w:t>balanced</w:t>
      </w:r>
      <w:r w:rsidR="00EE0313" w:rsidRPr="00B64388">
        <w:rPr>
          <w:rFonts w:ascii="Arial" w:eastAsia="Times New Roman" w:hAnsi="Arial" w:cs="Arial"/>
          <w:bCs/>
          <w:color w:val="000000"/>
          <w:sz w:val="28"/>
          <w:szCs w:val="28"/>
          <w:lang w:val="en-JM"/>
        </w:rPr>
        <w:t>, which means that actual inflation could be in line with the forecast</w:t>
      </w:r>
      <w:r w:rsidRPr="00B64388">
        <w:rPr>
          <w:rFonts w:ascii="Arial" w:eastAsia="Times New Roman" w:hAnsi="Arial" w:cs="Arial"/>
          <w:color w:val="000000"/>
          <w:sz w:val="28"/>
          <w:szCs w:val="28"/>
          <w:lang w:val="en-JM"/>
        </w:rPr>
        <w:t xml:space="preserve">. The factors that could cause higher inflation include </w:t>
      </w:r>
      <w:r w:rsidR="00175C87" w:rsidRPr="00B64388">
        <w:rPr>
          <w:rFonts w:ascii="Arial" w:eastAsia="Times New Roman" w:hAnsi="Arial" w:cs="Arial"/>
          <w:color w:val="000000"/>
          <w:sz w:val="28"/>
          <w:szCs w:val="28"/>
          <w:lang w:val="en-JM"/>
        </w:rPr>
        <w:t xml:space="preserve">further disruptions </w:t>
      </w:r>
      <w:r w:rsidR="00EE0313" w:rsidRPr="00B64388">
        <w:rPr>
          <w:rFonts w:ascii="Arial" w:eastAsia="Times New Roman" w:hAnsi="Arial" w:cs="Arial"/>
          <w:color w:val="000000"/>
          <w:sz w:val="28"/>
          <w:szCs w:val="28"/>
          <w:lang w:val="en-JM"/>
        </w:rPr>
        <w:t xml:space="preserve">in </w:t>
      </w:r>
      <w:r w:rsidR="00222E8C" w:rsidRPr="00B64388">
        <w:rPr>
          <w:rFonts w:ascii="Arial" w:eastAsia="Times New Roman" w:hAnsi="Arial" w:cs="Arial"/>
          <w:color w:val="000000"/>
          <w:sz w:val="28"/>
          <w:szCs w:val="28"/>
          <w:lang w:val="en-JM"/>
        </w:rPr>
        <w:t xml:space="preserve">international </w:t>
      </w:r>
      <w:r w:rsidR="00EE0313" w:rsidRPr="00B64388">
        <w:rPr>
          <w:rFonts w:ascii="Arial" w:eastAsia="Times New Roman" w:hAnsi="Arial" w:cs="Arial"/>
          <w:color w:val="000000"/>
          <w:sz w:val="28"/>
          <w:szCs w:val="28"/>
          <w:lang w:val="en-JM"/>
        </w:rPr>
        <w:t>supply chain</w:t>
      </w:r>
      <w:r w:rsidR="00C55C6E" w:rsidRPr="00B64388">
        <w:rPr>
          <w:rFonts w:ascii="Arial" w:eastAsia="Times New Roman" w:hAnsi="Arial" w:cs="Arial"/>
          <w:color w:val="000000"/>
          <w:sz w:val="28"/>
          <w:szCs w:val="28"/>
          <w:lang w:val="en-JM"/>
        </w:rPr>
        <w:t>s</w:t>
      </w:r>
      <w:r w:rsidR="00EE0313" w:rsidRPr="00B64388">
        <w:rPr>
          <w:rFonts w:ascii="Arial" w:eastAsia="Times New Roman" w:hAnsi="Arial" w:cs="Arial"/>
          <w:color w:val="000000"/>
          <w:sz w:val="28"/>
          <w:szCs w:val="28"/>
          <w:lang w:val="en-JM"/>
        </w:rPr>
        <w:t xml:space="preserve">, higher than anticipated pass-through of imported inflation to domestic inflation and </w:t>
      </w:r>
      <w:r w:rsidR="00E80D2D" w:rsidRPr="00B64388">
        <w:rPr>
          <w:rFonts w:ascii="Arial" w:eastAsia="Times New Roman" w:hAnsi="Arial" w:cs="Arial"/>
          <w:color w:val="000000"/>
          <w:sz w:val="28"/>
          <w:szCs w:val="28"/>
          <w:lang w:val="en-JM"/>
        </w:rPr>
        <w:t xml:space="preserve">a reversal in the trends in </w:t>
      </w:r>
      <w:r w:rsidR="00EE0313" w:rsidRPr="00B64388">
        <w:rPr>
          <w:rFonts w:ascii="Arial" w:eastAsia="Times New Roman" w:hAnsi="Arial" w:cs="Arial"/>
          <w:color w:val="000000"/>
          <w:sz w:val="28"/>
          <w:szCs w:val="28"/>
          <w:lang w:val="en-JM"/>
        </w:rPr>
        <w:t xml:space="preserve">commodity prices. The rebound of the </w:t>
      </w:r>
      <w:r w:rsidR="00521B2B" w:rsidRPr="00B64388">
        <w:rPr>
          <w:rFonts w:ascii="Arial" w:eastAsia="Times New Roman" w:hAnsi="Arial" w:cs="Arial"/>
          <w:color w:val="000000"/>
          <w:sz w:val="28"/>
          <w:szCs w:val="28"/>
          <w:lang w:val="en-JM"/>
        </w:rPr>
        <w:t xml:space="preserve">domestic </w:t>
      </w:r>
      <w:r w:rsidR="00EE0313" w:rsidRPr="00B64388">
        <w:rPr>
          <w:rFonts w:ascii="Arial" w:eastAsia="Times New Roman" w:hAnsi="Arial" w:cs="Arial"/>
          <w:color w:val="000000"/>
          <w:sz w:val="28"/>
          <w:szCs w:val="28"/>
          <w:lang w:val="en-JM"/>
        </w:rPr>
        <w:t xml:space="preserve">economy and the </w:t>
      </w:r>
      <w:r w:rsidR="00FC1CBB" w:rsidRPr="00B64388">
        <w:rPr>
          <w:rFonts w:ascii="Arial" w:eastAsia="Times New Roman" w:hAnsi="Arial" w:cs="Arial"/>
          <w:color w:val="000000"/>
          <w:sz w:val="28"/>
          <w:szCs w:val="28"/>
          <w:lang w:val="en-JM"/>
        </w:rPr>
        <w:t xml:space="preserve">additional </w:t>
      </w:r>
      <w:r w:rsidR="00EE0313" w:rsidRPr="00B64388">
        <w:rPr>
          <w:rFonts w:ascii="Arial" w:eastAsia="Times New Roman" w:hAnsi="Arial" w:cs="Arial"/>
          <w:color w:val="000000"/>
          <w:sz w:val="28"/>
          <w:szCs w:val="28"/>
          <w:lang w:val="en-JM"/>
        </w:rPr>
        <w:t xml:space="preserve">demand </w:t>
      </w:r>
      <w:r w:rsidR="00FC1CBB" w:rsidRPr="00B64388">
        <w:rPr>
          <w:rFonts w:ascii="Arial" w:eastAsia="Times New Roman" w:hAnsi="Arial" w:cs="Arial"/>
          <w:color w:val="000000"/>
          <w:sz w:val="28"/>
          <w:szCs w:val="28"/>
          <w:lang w:val="en-JM"/>
        </w:rPr>
        <w:t xml:space="preserve">for labour </w:t>
      </w:r>
      <w:r w:rsidR="00EE0313" w:rsidRPr="00B64388">
        <w:rPr>
          <w:rFonts w:ascii="Arial" w:eastAsia="Times New Roman" w:hAnsi="Arial" w:cs="Arial"/>
          <w:color w:val="000000"/>
          <w:sz w:val="28"/>
          <w:szCs w:val="28"/>
          <w:lang w:val="en-JM"/>
        </w:rPr>
        <w:t xml:space="preserve">that this brings may contribute to further upward movements in wages and hence prices. On the downside, weaker than expected global growth could </w:t>
      </w:r>
      <w:r w:rsidR="00A04987" w:rsidRPr="00B64388">
        <w:rPr>
          <w:rFonts w:ascii="Arial" w:eastAsia="Times New Roman" w:hAnsi="Arial" w:cs="Arial"/>
          <w:color w:val="000000"/>
          <w:sz w:val="28"/>
          <w:szCs w:val="28"/>
          <w:lang w:val="en-JM"/>
        </w:rPr>
        <w:t>cause even greater softening of international commodity prices.</w:t>
      </w:r>
    </w:p>
    <w:p w14:paraId="379512DA" w14:textId="77777777" w:rsidR="003F489F" w:rsidRPr="00B64388" w:rsidRDefault="003F489F" w:rsidP="00F37D76">
      <w:pPr>
        <w:spacing w:after="240" w:line="360" w:lineRule="auto"/>
        <w:jc w:val="both"/>
        <w:rPr>
          <w:rFonts w:ascii="Arial" w:eastAsia="Times New Roman" w:hAnsi="Arial" w:cs="Arial"/>
          <w:sz w:val="28"/>
          <w:szCs w:val="28"/>
          <w:lang w:val="en-JM"/>
        </w:rPr>
      </w:pPr>
      <w:r w:rsidRPr="00B64388">
        <w:rPr>
          <w:rFonts w:ascii="Arial" w:eastAsia="Times New Roman" w:hAnsi="Arial" w:cs="Arial"/>
          <w:b/>
          <w:bCs/>
          <w:color w:val="000000"/>
          <w:sz w:val="28"/>
          <w:szCs w:val="28"/>
          <w:lang w:val="en-JM"/>
        </w:rPr>
        <w:t>Outlook for the Jamaican Economy</w:t>
      </w:r>
    </w:p>
    <w:p w14:paraId="6D0106A4" w14:textId="77777777" w:rsidR="00004A56" w:rsidRPr="00B64388" w:rsidRDefault="00004A56" w:rsidP="00004A56">
      <w:pPr>
        <w:spacing w:after="240" w:line="360" w:lineRule="auto"/>
        <w:ind w:firstLine="720"/>
        <w:jc w:val="both"/>
        <w:rPr>
          <w:rFonts w:ascii="Arial" w:eastAsia="Times New Roman" w:hAnsi="Arial" w:cs="Arial"/>
          <w:color w:val="000000"/>
          <w:sz w:val="28"/>
          <w:szCs w:val="28"/>
          <w:lang w:val="en-JM"/>
        </w:rPr>
      </w:pPr>
      <w:r w:rsidRPr="00B64388">
        <w:rPr>
          <w:rFonts w:ascii="Arial" w:eastAsia="Times New Roman" w:hAnsi="Arial" w:cs="Arial"/>
          <w:color w:val="000000"/>
          <w:sz w:val="28"/>
          <w:szCs w:val="28"/>
          <w:lang w:val="en-JM"/>
        </w:rPr>
        <w:t>The Jamaican economy continues to perform creditably. There are signs that the economy expand</w:t>
      </w:r>
      <w:r w:rsidR="007F5AC8" w:rsidRPr="00B64388">
        <w:rPr>
          <w:rFonts w:ascii="Arial" w:eastAsia="Times New Roman" w:hAnsi="Arial" w:cs="Arial"/>
          <w:color w:val="000000"/>
          <w:sz w:val="28"/>
          <w:szCs w:val="28"/>
          <w:lang w:val="en-JM"/>
        </w:rPr>
        <w:t>ed</w:t>
      </w:r>
      <w:r w:rsidRPr="00B64388">
        <w:rPr>
          <w:rFonts w:ascii="Arial" w:eastAsia="Times New Roman" w:hAnsi="Arial" w:cs="Arial"/>
          <w:color w:val="000000"/>
          <w:sz w:val="28"/>
          <w:szCs w:val="28"/>
          <w:lang w:val="en-JM"/>
        </w:rPr>
        <w:t xml:space="preserve"> </w:t>
      </w:r>
      <w:r w:rsidR="00E04596" w:rsidRPr="00B64388">
        <w:rPr>
          <w:rFonts w:ascii="Arial" w:eastAsia="Times New Roman" w:hAnsi="Arial" w:cs="Arial"/>
          <w:color w:val="000000"/>
          <w:sz w:val="28"/>
          <w:szCs w:val="28"/>
          <w:lang w:val="en-JM"/>
        </w:rPr>
        <w:t xml:space="preserve">strongly </w:t>
      </w:r>
      <w:r w:rsidRPr="00B64388">
        <w:rPr>
          <w:rFonts w:ascii="Arial" w:eastAsia="Times New Roman" w:hAnsi="Arial" w:cs="Arial"/>
          <w:color w:val="000000"/>
          <w:sz w:val="28"/>
          <w:szCs w:val="28"/>
          <w:lang w:val="en-JM"/>
        </w:rPr>
        <w:t>in the June 2022 quarter and so far in the September 2022 quarter</w:t>
      </w:r>
      <w:r w:rsidR="00E04596" w:rsidRPr="00B64388">
        <w:rPr>
          <w:rFonts w:ascii="Arial" w:eastAsia="Times New Roman" w:hAnsi="Arial" w:cs="Arial"/>
          <w:color w:val="000000"/>
          <w:sz w:val="28"/>
          <w:szCs w:val="28"/>
          <w:lang w:val="en-JM"/>
        </w:rPr>
        <w:t xml:space="preserve"> also</w:t>
      </w:r>
      <w:r w:rsidRPr="00B64388">
        <w:rPr>
          <w:rFonts w:ascii="Arial" w:eastAsia="Times New Roman" w:hAnsi="Arial" w:cs="Arial"/>
          <w:color w:val="000000"/>
          <w:sz w:val="28"/>
          <w:szCs w:val="28"/>
          <w:lang w:val="en-JM"/>
        </w:rPr>
        <w:t>. The labour market has also continued its exceptional performance</w:t>
      </w:r>
      <w:r w:rsidR="00B35CC1" w:rsidRPr="00B64388">
        <w:rPr>
          <w:rFonts w:ascii="Arial" w:eastAsia="Times New Roman" w:hAnsi="Arial" w:cs="Arial"/>
          <w:color w:val="000000"/>
          <w:sz w:val="28"/>
          <w:szCs w:val="28"/>
          <w:lang w:val="en-JM"/>
        </w:rPr>
        <w:t>.</w:t>
      </w:r>
      <w:r w:rsidRPr="00B64388">
        <w:rPr>
          <w:rFonts w:ascii="Arial" w:eastAsia="Times New Roman" w:hAnsi="Arial" w:cs="Arial"/>
          <w:color w:val="000000"/>
          <w:sz w:val="28"/>
          <w:szCs w:val="28"/>
          <w:lang w:val="en-JM"/>
        </w:rPr>
        <w:t xml:space="preserve"> </w:t>
      </w:r>
      <w:r w:rsidR="00B35CC1" w:rsidRPr="00B64388">
        <w:rPr>
          <w:rFonts w:ascii="Arial" w:eastAsia="Times New Roman" w:hAnsi="Arial" w:cs="Arial"/>
          <w:color w:val="000000"/>
          <w:sz w:val="28"/>
          <w:szCs w:val="28"/>
          <w:lang w:val="en-JM"/>
        </w:rPr>
        <w:t>A</w:t>
      </w:r>
      <w:r w:rsidRPr="00B64388">
        <w:rPr>
          <w:rFonts w:ascii="Arial" w:eastAsia="Times New Roman" w:hAnsi="Arial" w:cs="Arial"/>
          <w:color w:val="000000"/>
          <w:sz w:val="28"/>
          <w:szCs w:val="28"/>
          <w:lang w:val="en-JM"/>
        </w:rPr>
        <w:t>t April 2022 the unemployment rate fell to a historic low of 6.0 per cent. </w:t>
      </w:r>
    </w:p>
    <w:p w14:paraId="5B68AC6D" w14:textId="77777777" w:rsidR="003F489F" w:rsidRPr="00B64388" w:rsidRDefault="00961516" w:rsidP="00F37D76">
      <w:pPr>
        <w:spacing w:after="240" w:line="360" w:lineRule="auto"/>
        <w:ind w:firstLine="720"/>
        <w:jc w:val="both"/>
        <w:rPr>
          <w:rFonts w:ascii="Arial" w:eastAsia="Times New Roman" w:hAnsi="Arial" w:cs="Arial"/>
          <w:sz w:val="28"/>
          <w:szCs w:val="28"/>
          <w:lang w:val="en-JM"/>
        </w:rPr>
      </w:pPr>
      <w:r w:rsidRPr="00B64388">
        <w:rPr>
          <w:rFonts w:ascii="Arial" w:eastAsia="Times New Roman" w:hAnsi="Arial" w:cs="Arial"/>
          <w:color w:val="000000"/>
          <w:sz w:val="28"/>
          <w:szCs w:val="28"/>
          <w:lang w:val="en-JM"/>
        </w:rPr>
        <w:t xml:space="preserve">For </w:t>
      </w:r>
      <w:r w:rsidR="0059639F" w:rsidRPr="00B64388">
        <w:rPr>
          <w:rFonts w:ascii="Arial" w:eastAsia="Times New Roman" w:hAnsi="Arial" w:cs="Arial"/>
          <w:color w:val="000000"/>
          <w:sz w:val="28"/>
          <w:szCs w:val="28"/>
          <w:lang w:val="en-JM"/>
        </w:rPr>
        <w:t xml:space="preserve">fiscal </w:t>
      </w:r>
      <w:r w:rsidRPr="00B64388">
        <w:rPr>
          <w:rFonts w:ascii="Arial" w:eastAsia="Times New Roman" w:hAnsi="Arial" w:cs="Arial"/>
          <w:color w:val="000000"/>
          <w:sz w:val="28"/>
          <w:szCs w:val="28"/>
          <w:lang w:val="en-JM"/>
        </w:rPr>
        <w:t>year 202</w:t>
      </w:r>
      <w:r w:rsidR="00BD016A" w:rsidRPr="00B64388">
        <w:rPr>
          <w:rFonts w:ascii="Arial" w:eastAsia="Times New Roman" w:hAnsi="Arial" w:cs="Arial"/>
          <w:color w:val="000000"/>
          <w:sz w:val="28"/>
          <w:szCs w:val="28"/>
          <w:lang w:val="en-JM"/>
        </w:rPr>
        <w:t>2</w:t>
      </w:r>
      <w:r w:rsidRPr="00B64388">
        <w:rPr>
          <w:rFonts w:ascii="Arial" w:eastAsia="Times New Roman" w:hAnsi="Arial" w:cs="Arial"/>
          <w:color w:val="000000"/>
          <w:sz w:val="28"/>
          <w:szCs w:val="28"/>
          <w:lang w:val="en-JM"/>
        </w:rPr>
        <w:t>/2</w:t>
      </w:r>
      <w:r w:rsidR="00BD016A" w:rsidRPr="00B64388">
        <w:rPr>
          <w:rFonts w:ascii="Arial" w:eastAsia="Times New Roman" w:hAnsi="Arial" w:cs="Arial"/>
          <w:color w:val="000000"/>
          <w:sz w:val="28"/>
          <w:szCs w:val="28"/>
          <w:lang w:val="en-JM"/>
        </w:rPr>
        <w:t>3</w:t>
      </w:r>
      <w:r w:rsidR="004714EA" w:rsidRPr="00B64388">
        <w:rPr>
          <w:rFonts w:ascii="Arial" w:eastAsia="Times New Roman" w:hAnsi="Arial" w:cs="Arial"/>
          <w:color w:val="000000"/>
          <w:sz w:val="28"/>
          <w:szCs w:val="28"/>
          <w:lang w:val="en-JM"/>
        </w:rPr>
        <w:t>,</w:t>
      </w:r>
      <w:r w:rsidRPr="00B64388">
        <w:rPr>
          <w:rFonts w:ascii="Arial" w:eastAsia="Times New Roman" w:hAnsi="Arial" w:cs="Arial"/>
          <w:color w:val="000000"/>
          <w:sz w:val="28"/>
          <w:szCs w:val="28"/>
          <w:lang w:val="en-JM"/>
        </w:rPr>
        <w:t xml:space="preserve"> the Bank </w:t>
      </w:r>
      <w:r w:rsidR="0059639F" w:rsidRPr="00B64388">
        <w:rPr>
          <w:rFonts w:ascii="Arial" w:eastAsia="Times New Roman" w:hAnsi="Arial" w:cs="Arial"/>
          <w:color w:val="000000"/>
          <w:sz w:val="28"/>
          <w:szCs w:val="28"/>
          <w:lang w:val="en-JM"/>
        </w:rPr>
        <w:t xml:space="preserve">projects </w:t>
      </w:r>
      <w:r w:rsidRPr="00B64388">
        <w:rPr>
          <w:rFonts w:ascii="Arial" w:eastAsia="Times New Roman" w:hAnsi="Arial" w:cs="Arial"/>
          <w:color w:val="000000"/>
          <w:sz w:val="28"/>
          <w:szCs w:val="28"/>
          <w:lang w:val="en-JM"/>
        </w:rPr>
        <w:t xml:space="preserve">real GDP growth in the range of </w:t>
      </w:r>
      <w:r w:rsidR="00584C4F" w:rsidRPr="00B64388">
        <w:rPr>
          <w:rFonts w:ascii="Arial" w:eastAsia="Times New Roman" w:hAnsi="Arial" w:cs="Arial"/>
          <w:color w:val="000000"/>
          <w:sz w:val="28"/>
          <w:szCs w:val="28"/>
          <w:lang w:val="en-JM"/>
        </w:rPr>
        <w:t>2</w:t>
      </w:r>
      <w:r w:rsidRPr="00B64388">
        <w:rPr>
          <w:rFonts w:ascii="Arial" w:eastAsia="Times New Roman" w:hAnsi="Arial" w:cs="Arial"/>
          <w:color w:val="000000"/>
          <w:sz w:val="28"/>
          <w:szCs w:val="28"/>
          <w:lang w:val="en-JM"/>
        </w:rPr>
        <w:t>.</w:t>
      </w:r>
      <w:r w:rsidR="00F4267F" w:rsidRPr="00B64388">
        <w:rPr>
          <w:rFonts w:ascii="Arial" w:eastAsia="Times New Roman" w:hAnsi="Arial" w:cs="Arial"/>
          <w:color w:val="000000"/>
          <w:sz w:val="28"/>
          <w:szCs w:val="28"/>
          <w:lang w:val="en-JM"/>
        </w:rPr>
        <w:t>5</w:t>
      </w:r>
      <w:r w:rsidRPr="00B64388">
        <w:rPr>
          <w:rFonts w:ascii="Arial" w:eastAsia="Times New Roman" w:hAnsi="Arial" w:cs="Arial"/>
          <w:color w:val="000000"/>
          <w:sz w:val="28"/>
          <w:szCs w:val="28"/>
          <w:lang w:val="en-JM"/>
        </w:rPr>
        <w:t xml:space="preserve"> per cent to </w:t>
      </w:r>
      <w:r w:rsidR="00584C4F" w:rsidRPr="00B64388">
        <w:rPr>
          <w:rFonts w:ascii="Arial" w:eastAsia="Times New Roman" w:hAnsi="Arial" w:cs="Arial"/>
          <w:color w:val="000000"/>
          <w:sz w:val="28"/>
          <w:szCs w:val="28"/>
          <w:lang w:val="en-JM"/>
        </w:rPr>
        <w:t>4</w:t>
      </w:r>
      <w:r w:rsidRPr="00B64388">
        <w:rPr>
          <w:rFonts w:ascii="Arial" w:eastAsia="Times New Roman" w:hAnsi="Arial" w:cs="Arial"/>
          <w:color w:val="000000"/>
          <w:sz w:val="28"/>
          <w:szCs w:val="28"/>
          <w:lang w:val="en-JM"/>
        </w:rPr>
        <w:t>.</w:t>
      </w:r>
      <w:r w:rsidR="00F4267F" w:rsidRPr="00B64388">
        <w:rPr>
          <w:rFonts w:ascii="Arial" w:eastAsia="Times New Roman" w:hAnsi="Arial" w:cs="Arial"/>
          <w:color w:val="000000"/>
          <w:sz w:val="28"/>
          <w:szCs w:val="28"/>
          <w:lang w:val="en-JM"/>
        </w:rPr>
        <w:t>5</w:t>
      </w:r>
      <w:r w:rsidRPr="00B64388">
        <w:rPr>
          <w:rFonts w:ascii="Arial" w:eastAsia="Times New Roman" w:hAnsi="Arial" w:cs="Arial"/>
          <w:color w:val="000000"/>
          <w:sz w:val="28"/>
          <w:szCs w:val="28"/>
          <w:lang w:val="en-JM"/>
        </w:rPr>
        <w:t xml:space="preserve"> per cent</w:t>
      </w:r>
      <w:r w:rsidR="00ED27C1" w:rsidRPr="00B64388">
        <w:rPr>
          <w:rFonts w:ascii="Arial" w:eastAsia="Times New Roman" w:hAnsi="Arial" w:cs="Arial"/>
          <w:color w:val="000000"/>
          <w:sz w:val="28"/>
          <w:szCs w:val="28"/>
          <w:lang w:val="en-JM"/>
        </w:rPr>
        <w:t xml:space="preserve"> and </w:t>
      </w:r>
      <w:r w:rsidR="00584C4F" w:rsidRPr="00B64388">
        <w:rPr>
          <w:rFonts w:ascii="Arial" w:eastAsia="Times New Roman" w:hAnsi="Arial" w:cs="Arial"/>
          <w:color w:val="000000"/>
          <w:sz w:val="28"/>
          <w:szCs w:val="28"/>
          <w:lang w:val="en-JM"/>
        </w:rPr>
        <w:t xml:space="preserve">in </w:t>
      </w:r>
      <w:r w:rsidR="003F489F" w:rsidRPr="00B64388">
        <w:rPr>
          <w:rFonts w:ascii="Arial" w:eastAsia="Times New Roman" w:hAnsi="Arial" w:cs="Arial"/>
          <w:color w:val="000000"/>
          <w:sz w:val="28"/>
          <w:szCs w:val="28"/>
          <w:lang w:val="en-JM"/>
        </w:rPr>
        <w:t xml:space="preserve">the range of </w:t>
      </w:r>
      <w:r w:rsidR="00650A1A" w:rsidRPr="00B64388">
        <w:rPr>
          <w:rFonts w:ascii="Arial" w:eastAsia="Times New Roman" w:hAnsi="Arial" w:cs="Arial"/>
          <w:color w:val="000000"/>
          <w:sz w:val="28"/>
          <w:szCs w:val="28"/>
          <w:lang w:val="en-JM"/>
        </w:rPr>
        <w:t>1</w:t>
      </w:r>
      <w:r w:rsidR="00F4267F" w:rsidRPr="00B64388">
        <w:rPr>
          <w:rFonts w:ascii="Arial" w:eastAsia="Times New Roman" w:hAnsi="Arial" w:cs="Arial"/>
          <w:color w:val="000000"/>
          <w:sz w:val="28"/>
          <w:szCs w:val="28"/>
          <w:lang w:val="en-JM"/>
        </w:rPr>
        <w:t>.0</w:t>
      </w:r>
      <w:r w:rsidR="003F489F" w:rsidRPr="00B64388">
        <w:rPr>
          <w:rFonts w:ascii="Arial" w:eastAsia="Times New Roman" w:hAnsi="Arial" w:cs="Arial"/>
          <w:color w:val="000000"/>
          <w:sz w:val="28"/>
          <w:szCs w:val="28"/>
          <w:lang w:val="en-JM"/>
        </w:rPr>
        <w:t xml:space="preserve"> per cent to </w:t>
      </w:r>
      <w:r w:rsidR="00650A1A" w:rsidRPr="00B64388">
        <w:rPr>
          <w:rFonts w:ascii="Arial" w:eastAsia="Times New Roman" w:hAnsi="Arial" w:cs="Arial"/>
          <w:color w:val="000000"/>
          <w:sz w:val="28"/>
          <w:szCs w:val="28"/>
          <w:lang w:val="en-JM"/>
        </w:rPr>
        <w:t>3</w:t>
      </w:r>
      <w:r w:rsidR="003F489F" w:rsidRPr="00B64388">
        <w:rPr>
          <w:rFonts w:ascii="Arial" w:eastAsia="Times New Roman" w:hAnsi="Arial" w:cs="Arial"/>
          <w:color w:val="000000"/>
          <w:sz w:val="28"/>
          <w:szCs w:val="28"/>
          <w:lang w:val="en-JM"/>
        </w:rPr>
        <w:t>.</w:t>
      </w:r>
      <w:r w:rsidR="00F4267F" w:rsidRPr="00B64388">
        <w:rPr>
          <w:rFonts w:ascii="Arial" w:eastAsia="Times New Roman" w:hAnsi="Arial" w:cs="Arial"/>
          <w:color w:val="000000"/>
          <w:sz w:val="28"/>
          <w:szCs w:val="28"/>
          <w:lang w:val="en-JM"/>
        </w:rPr>
        <w:t>0</w:t>
      </w:r>
      <w:r w:rsidR="003F489F" w:rsidRPr="00B64388">
        <w:rPr>
          <w:rFonts w:ascii="Arial" w:eastAsia="Times New Roman" w:hAnsi="Arial" w:cs="Arial"/>
          <w:color w:val="000000"/>
          <w:sz w:val="28"/>
          <w:szCs w:val="28"/>
          <w:lang w:val="en-JM"/>
        </w:rPr>
        <w:t xml:space="preserve"> per cent</w:t>
      </w:r>
      <w:r w:rsidR="00ED27C1" w:rsidRPr="00B64388">
        <w:rPr>
          <w:rFonts w:ascii="Arial" w:eastAsia="Times New Roman" w:hAnsi="Arial" w:cs="Arial"/>
          <w:color w:val="000000"/>
          <w:sz w:val="28"/>
          <w:szCs w:val="28"/>
          <w:lang w:val="en-JM"/>
        </w:rPr>
        <w:t xml:space="preserve"> for FY2023/24</w:t>
      </w:r>
      <w:r w:rsidR="003F489F" w:rsidRPr="00B64388">
        <w:rPr>
          <w:rFonts w:ascii="Arial" w:eastAsia="Times New Roman" w:hAnsi="Arial" w:cs="Arial"/>
          <w:color w:val="000000"/>
          <w:sz w:val="28"/>
          <w:szCs w:val="28"/>
          <w:lang w:val="en-JM"/>
        </w:rPr>
        <w:t>. The Bank expects that GDP growth will continue to be driven by the services industry, particularly tourism</w:t>
      </w:r>
      <w:r w:rsidR="005972E7" w:rsidRPr="00B64388">
        <w:rPr>
          <w:rFonts w:ascii="Arial" w:eastAsia="Times New Roman" w:hAnsi="Arial" w:cs="Arial"/>
          <w:color w:val="000000"/>
          <w:sz w:val="28"/>
          <w:szCs w:val="28"/>
          <w:lang w:val="en-JM"/>
        </w:rPr>
        <w:t>,</w:t>
      </w:r>
      <w:r w:rsidR="00584C4F" w:rsidRPr="00B64388">
        <w:rPr>
          <w:rFonts w:ascii="Arial" w:eastAsia="Times New Roman" w:hAnsi="Arial" w:cs="Arial"/>
          <w:sz w:val="28"/>
          <w:szCs w:val="28"/>
          <w:lang w:val="en-JM" w:eastAsia="en-JM"/>
        </w:rPr>
        <w:t xml:space="preserve"> </w:t>
      </w:r>
      <w:r w:rsidR="00584C4F" w:rsidRPr="00B64388">
        <w:rPr>
          <w:rFonts w:ascii="Arial" w:eastAsia="Times New Roman" w:hAnsi="Arial" w:cs="Arial"/>
          <w:color w:val="000000"/>
          <w:sz w:val="28"/>
          <w:szCs w:val="28"/>
          <w:lang w:val="en-JM"/>
        </w:rPr>
        <w:t xml:space="preserve">which </w:t>
      </w:r>
      <w:r w:rsidR="005972E7" w:rsidRPr="00B64388">
        <w:rPr>
          <w:rFonts w:ascii="Arial" w:eastAsia="Times New Roman" w:hAnsi="Arial" w:cs="Arial"/>
          <w:color w:val="000000"/>
          <w:sz w:val="28"/>
          <w:szCs w:val="28"/>
          <w:lang w:val="en-JM"/>
        </w:rPr>
        <w:t xml:space="preserve">has been </w:t>
      </w:r>
      <w:r w:rsidR="00584C4F" w:rsidRPr="00B64388">
        <w:rPr>
          <w:rFonts w:ascii="Arial" w:eastAsia="Times New Roman" w:hAnsi="Arial" w:cs="Arial"/>
          <w:color w:val="000000"/>
          <w:sz w:val="28"/>
          <w:szCs w:val="28"/>
          <w:lang w:val="en-JM"/>
        </w:rPr>
        <w:t>recover</w:t>
      </w:r>
      <w:r w:rsidR="005972E7" w:rsidRPr="00B64388">
        <w:rPr>
          <w:rFonts w:ascii="Arial" w:eastAsia="Times New Roman" w:hAnsi="Arial" w:cs="Arial"/>
          <w:color w:val="000000"/>
          <w:sz w:val="28"/>
          <w:szCs w:val="28"/>
          <w:lang w:val="en-JM"/>
        </w:rPr>
        <w:t>ing</w:t>
      </w:r>
      <w:r w:rsidR="00584C4F" w:rsidRPr="00B64388">
        <w:rPr>
          <w:rFonts w:ascii="Arial" w:eastAsia="Times New Roman" w:hAnsi="Arial" w:cs="Arial"/>
          <w:color w:val="000000"/>
          <w:sz w:val="28"/>
          <w:szCs w:val="28"/>
          <w:lang w:val="en-JM"/>
        </w:rPr>
        <w:t xml:space="preserve"> </w:t>
      </w:r>
      <w:r w:rsidR="007C59E9" w:rsidRPr="00B64388">
        <w:rPr>
          <w:rFonts w:ascii="Arial" w:eastAsia="Times New Roman" w:hAnsi="Arial" w:cs="Arial"/>
          <w:color w:val="000000"/>
          <w:sz w:val="28"/>
          <w:szCs w:val="28"/>
          <w:lang w:val="en-JM"/>
        </w:rPr>
        <w:t xml:space="preserve">at a </w:t>
      </w:r>
      <w:r w:rsidR="00D2287F" w:rsidRPr="00B64388">
        <w:rPr>
          <w:rFonts w:ascii="Arial" w:eastAsia="Times New Roman" w:hAnsi="Arial" w:cs="Arial"/>
          <w:color w:val="000000"/>
          <w:sz w:val="28"/>
          <w:szCs w:val="28"/>
          <w:lang w:val="en-JM"/>
        </w:rPr>
        <w:t xml:space="preserve">faster than anticipated </w:t>
      </w:r>
      <w:r w:rsidR="005972E7" w:rsidRPr="00B64388">
        <w:rPr>
          <w:rFonts w:ascii="Arial" w:eastAsia="Times New Roman" w:hAnsi="Arial" w:cs="Arial"/>
          <w:color w:val="000000"/>
          <w:sz w:val="28"/>
          <w:szCs w:val="28"/>
          <w:lang w:val="en-JM"/>
        </w:rPr>
        <w:t>pace</w:t>
      </w:r>
      <w:r w:rsidR="003F489F" w:rsidRPr="00B64388">
        <w:rPr>
          <w:rFonts w:ascii="Arial" w:eastAsia="Times New Roman" w:hAnsi="Arial" w:cs="Arial"/>
          <w:color w:val="000000"/>
          <w:sz w:val="28"/>
          <w:szCs w:val="28"/>
          <w:lang w:val="en-JM"/>
        </w:rPr>
        <w:t>.</w:t>
      </w:r>
      <w:r w:rsidR="00974A73" w:rsidRPr="00B64388">
        <w:rPr>
          <w:rFonts w:ascii="Times New Roman" w:eastAsia="Calibri" w:hAnsi="Times New Roman" w:cs="Times New Roman"/>
          <w:b/>
          <w:bCs/>
          <w:sz w:val="24"/>
          <w:szCs w:val="24"/>
          <w:lang w:val="en-JM"/>
        </w:rPr>
        <w:t xml:space="preserve"> </w:t>
      </w:r>
      <w:r w:rsidR="0040410F" w:rsidRPr="00B64388">
        <w:rPr>
          <w:rFonts w:ascii="Arial" w:eastAsia="Times New Roman" w:hAnsi="Arial" w:cs="Arial"/>
          <w:color w:val="000000"/>
          <w:sz w:val="28"/>
          <w:szCs w:val="28"/>
          <w:lang w:val="en-JM"/>
        </w:rPr>
        <w:t>There has also been some b</w:t>
      </w:r>
      <w:r w:rsidR="00974A73" w:rsidRPr="00B64388">
        <w:rPr>
          <w:rFonts w:ascii="Arial" w:eastAsia="Times New Roman" w:hAnsi="Arial" w:cs="Arial"/>
          <w:color w:val="000000"/>
          <w:sz w:val="28"/>
          <w:szCs w:val="28"/>
          <w:lang w:val="en-JM"/>
        </w:rPr>
        <w:t>uoyancy</w:t>
      </w:r>
      <w:r w:rsidR="007B1606" w:rsidRPr="00B64388">
        <w:rPr>
          <w:rFonts w:ascii="Arial" w:eastAsia="Times New Roman" w:hAnsi="Arial" w:cs="Arial"/>
          <w:color w:val="000000"/>
          <w:sz w:val="28"/>
          <w:szCs w:val="28"/>
          <w:lang w:val="en-JM"/>
        </w:rPr>
        <w:t xml:space="preserve"> in the </w:t>
      </w:r>
      <w:r w:rsidR="0040410F" w:rsidRPr="00B64388">
        <w:rPr>
          <w:rFonts w:ascii="Arial" w:eastAsia="Times New Roman" w:hAnsi="Arial" w:cs="Arial"/>
          <w:color w:val="000000"/>
          <w:sz w:val="28"/>
          <w:szCs w:val="28"/>
          <w:lang w:val="en-JM"/>
        </w:rPr>
        <w:t>a</w:t>
      </w:r>
      <w:r w:rsidR="007B1606" w:rsidRPr="00B64388">
        <w:rPr>
          <w:rFonts w:ascii="Arial" w:eastAsia="Times New Roman" w:hAnsi="Arial" w:cs="Arial"/>
          <w:color w:val="000000"/>
          <w:sz w:val="28"/>
          <w:szCs w:val="28"/>
          <w:lang w:val="en-JM"/>
        </w:rPr>
        <w:t xml:space="preserve">gricultural sector </w:t>
      </w:r>
      <w:r w:rsidR="0040410F" w:rsidRPr="00B64388">
        <w:rPr>
          <w:rFonts w:ascii="Arial" w:eastAsia="Times New Roman" w:hAnsi="Arial" w:cs="Arial"/>
          <w:color w:val="000000"/>
          <w:sz w:val="28"/>
          <w:szCs w:val="28"/>
          <w:lang w:val="en-JM"/>
        </w:rPr>
        <w:t xml:space="preserve">which </w:t>
      </w:r>
      <w:r w:rsidR="007B1606" w:rsidRPr="00B64388">
        <w:rPr>
          <w:rFonts w:ascii="Arial" w:eastAsia="Times New Roman" w:hAnsi="Arial" w:cs="Arial"/>
          <w:color w:val="000000"/>
          <w:sz w:val="28"/>
          <w:szCs w:val="28"/>
          <w:lang w:val="en-JM"/>
        </w:rPr>
        <w:t>is</w:t>
      </w:r>
      <w:r w:rsidR="00436141" w:rsidRPr="00B64388">
        <w:rPr>
          <w:rFonts w:ascii="Arial" w:eastAsia="Times New Roman" w:hAnsi="Arial" w:cs="Arial"/>
          <w:color w:val="000000"/>
          <w:sz w:val="28"/>
          <w:szCs w:val="28"/>
          <w:lang w:val="en-JM"/>
        </w:rPr>
        <w:t xml:space="preserve"> expected </w:t>
      </w:r>
      <w:r w:rsidR="0040410F" w:rsidRPr="00B64388">
        <w:rPr>
          <w:rFonts w:ascii="Arial" w:eastAsia="Times New Roman" w:hAnsi="Arial" w:cs="Arial"/>
          <w:color w:val="000000"/>
          <w:sz w:val="28"/>
          <w:szCs w:val="28"/>
          <w:lang w:val="en-JM"/>
        </w:rPr>
        <w:t xml:space="preserve">to continue </w:t>
      </w:r>
      <w:r w:rsidR="00774285" w:rsidRPr="00B64388">
        <w:rPr>
          <w:rFonts w:ascii="Arial" w:eastAsia="Times New Roman" w:hAnsi="Arial" w:cs="Arial"/>
          <w:color w:val="000000"/>
          <w:sz w:val="28"/>
          <w:szCs w:val="28"/>
          <w:lang w:val="en-JM"/>
        </w:rPr>
        <w:t xml:space="preserve">as </w:t>
      </w:r>
      <w:r w:rsidR="00FC1CBB" w:rsidRPr="00B64388">
        <w:rPr>
          <w:rFonts w:ascii="Arial" w:eastAsia="Times New Roman" w:hAnsi="Arial" w:cs="Arial"/>
          <w:color w:val="000000"/>
          <w:sz w:val="28"/>
          <w:szCs w:val="28"/>
          <w:lang w:val="en-JM"/>
        </w:rPr>
        <w:t xml:space="preserve">the </w:t>
      </w:r>
      <w:r w:rsidR="00974A73" w:rsidRPr="00B64388">
        <w:rPr>
          <w:rFonts w:ascii="Arial" w:eastAsia="Times New Roman" w:hAnsi="Arial" w:cs="Arial"/>
          <w:color w:val="000000"/>
          <w:sz w:val="28"/>
          <w:szCs w:val="28"/>
          <w:lang w:val="en-JM"/>
        </w:rPr>
        <w:t xml:space="preserve">tourism </w:t>
      </w:r>
      <w:r w:rsidR="007F5AC8" w:rsidRPr="00B64388">
        <w:rPr>
          <w:rFonts w:ascii="Arial" w:eastAsia="Times New Roman" w:hAnsi="Arial" w:cs="Arial"/>
          <w:color w:val="000000"/>
          <w:sz w:val="28"/>
          <w:szCs w:val="28"/>
          <w:lang w:val="en-JM"/>
        </w:rPr>
        <w:t>sector recovers</w:t>
      </w:r>
      <w:r w:rsidR="00774285" w:rsidRPr="00B64388">
        <w:rPr>
          <w:rFonts w:ascii="Arial" w:eastAsia="Times New Roman" w:hAnsi="Arial" w:cs="Arial"/>
          <w:color w:val="000000"/>
          <w:sz w:val="28"/>
          <w:szCs w:val="28"/>
          <w:lang w:val="en-JM"/>
        </w:rPr>
        <w:t xml:space="preserve"> </w:t>
      </w:r>
      <w:r w:rsidR="0040410F" w:rsidRPr="00B64388">
        <w:rPr>
          <w:rFonts w:ascii="Arial" w:eastAsia="Times New Roman" w:hAnsi="Arial" w:cs="Arial"/>
          <w:color w:val="000000"/>
          <w:sz w:val="28"/>
          <w:szCs w:val="28"/>
          <w:lang w:val="en-JM"/>
        </w:rPr>
        <w:t xml:space="preserve">and </w:t>
      </w:r>
      <w:r w:rsidR="00774285" w:rsidRPr="00B64388">
        <w:rPr>
          <w:rFonts w:ascii="Arial" w:eastAsia="Times New Roman" w:hAnsi="Arial" w:cs="Arial"/>
          <w:color w:val="000000"/>
          <w:sz w:val="28"/>
          <w:szCs w:val="28"/>
          <w:lang w:val="en-JM"/>
        </w:rPr>
        <w:t xml:space="preserve">weather conditions remain </w:t>
      </w:r>
      <w:r w:rsidR="0040410F" w:rsidRPr="00B64388">
        <w:rPr>
          <w:rFonts w:ascii="Arial" w:eastAsia="Times New Roman" w:hAnsi="Arial" w:cs="Arial"/>
          <w:color w:val="000000"/>
          <w:sz w:val="28"/>
          <w:szCs w:val="28"/>
          <w:lang w:val="en-JM"/>
        </w:rPr>
        <w:t>favourable</w:t>
      </w:r>
      <w:r w:rsidR="00436141" w:rsidRPr="00B64388">
        <w:rPr>
          <w:rFonts w:ascii="Arial" w:eastAsia="Times New Roman" w:hAnsi="Arial" w:cs="Arial"/>
          <w:bCs/>
          <w:color w:val="000000"/>
          <w:sz w:val="28"/>
          <w:szCs w:val="28"/>
          <w:lang w:val="en-JM"/>
        </w:rPr>
        <w:t xml:space="preserve">. </w:t>
      </w:r>
      <w:r w:rsidR="00974A73" w:rsidRPr="00B64388">
        <w:rPr>
          <w:rFonts w:ascii="Arial" w:eastAsia="Times New Roman" w:hAnsi="Arial" w:cs="Arial"/>
          <w:bCs/>
          <w:color w:val="000000"/>
          <w:sz w:val="28"/>
          <w:szCs w:val="28"/>
          <w:lang w:val="en-JM"/>
        </w:rPr>
        <w:t xml:space="preserve">The forecasted growth also reflects the </w:t>
      </w:r>
      <w:r w:rsidR="00FC1CBB" w:rsidRPr="00B64388">
        <w:rPr>
          <w:rFonts w:ascii="Arial" w:eastAsia="Times New Roman" w:hAnsi="Arial" w:cs="Arial"/>
          <w:bCs/>
          <w:color w:val="000000"/>
          <w:sz w:val="28"/>
          <w:szCs w:val="28"/>
          <w:lang w:val="en-JM"/>
        </w:rPr>
        <w:t xml:space="preserve">recent </w:t>
      </w:r>
      <w:r w:rsidR="00974A73" w:rsidRPr="00B64388">
        <w:rPr>
          <w:rFonts w:ascii="Arial" w:eastAsia="Times New Roman" w:hAnsi="Arial" w:cs="Arial"/>
          <w:color w:val="000000"/>
          <w:sz w:val="28"/>
          <w:szCs w:val="28"/>
          <w:lang w:val="en-JM"/>
        </w:rPr>
        <w:t xml:space="preserve">resumption </w:t>
      </w:r>
      <w:r w:rsidR="00CA6BC5" w:rsidRPr="00B64388">
        <w:rPr>
          <w:rFonts w:ascii="Arial" w:eastAsia="Times New Roman" w:hAnsi="Arial" w:cs="Arial"/>
          <w:color w:val="000000"/>
          <w:sz w:val="28"/>
          <w:szCs w:val="28"/>
          <w:lang w:val="en-JM"/>
        </w:rPr>
        <w:t>of</w:t>
      </w:r>
      <w:r w:rsidR="00974A73" w:rsidRPr="00B64388">
        <w:rPr>
          <w:rFonts w:ascii="Arial" w:eastAsia="Times New Roman" w:hAnsi="Arial" w:cs="Arial"/>
          <w:color w:val="000000"/>
          <w:sz w:val="28"/>
          <w:szCs w:val="28"/>
          <w:lang w:val="en-JM"/>
        </w:rPr>
        <w:t xml:space="preserve"> production at the Jamalco alumina plant</w:t>
      </w:r>
      <w:r w:rsidR="00436141" w:rsidRPr="00B64388">
        <w:rPr>
          <w:rFonts w:ascii="Arial" w:eastAsia="Times New Roman" w:hAnsi="Arial" w:cs="Arial"/>
          <w:color w:val="000000"/>
          <w:sz w:val="28"/>
          <w:szCs w:val="28"/>
          <w:lang w:val="en-JM"/>
        </w:rPr>
        <w:t>.</w:t>
      </w:r>
    </w:p>
    <w:p w14:paraId="59ABAC56" w14:textId="77777777" w:rsidR="003F489F" w:rsidRPr="00B64388" w:rsidRDefault="003F489F" w:rsidP="00F37D76">
      <w:pPr>
        <w:spacing w:after="240" w:line="360" w:lineRule="auto"/>
        <w:ind w:firstLine="567"/>
        <w:jc w:val="both"/>
        <w:rPr>
          <w:rFonts w:ascii="Arial" w:eastAsia="Times New Roman" w:hAnsi="Arial" w:cs="Arial"/>
          <w:color w:val="000000"/>
          <w:sz w:val="28"/>
          <w:szCs w:val="28"/>
          <w:lang w:val="en-JM"/>
        </w:rPr>
      </w:pPr>
      <w:r w:rsidRPr="00B64388">
        <w:rPr>
          <w:rFonts w:ascii="Arial" w:eastAsia="Times New Roman" w:hAnsi="Arial" w:cs="Arial"/>
          <w:color w:val="000000"/>
          <w:sz w:val="28"/>
          <w:szCs w:val="28"/>
          <w:lang w:val="en-JM"/>
        </w:rPr>
        <w:t xml:space="preserve">The risks to the growth forecast are skewed to the downside, suggesting the possibility of slower growth. </w:t>
      </w:r>
      <w:r w:rsidR="001959E8" w:rsidRPr="00B64388">
        <w:rPr>
          <w:rFonts w:ascii="Arial" w:eastAsia="Times New Roman" w:hAnsi="Arial" w:cs="Arial"/>
          <w:color w:val="000000"/>
          <w:sz w:val="28"/>
          <w:szCs w:val="28"/>
          <w:lang w:val="en-JM"/>
        </w:rPr>
        <w:t>Growth in tourist arrivals and related activities could be lower than projected given strong headwinds to global growth</w:t>
      </w:r>
      <w:r w:rsidR="004714EA" w:rsidRPr="00B64388">
        <w:rPr>
          <w:rFonts w:ascii="Arial" w:eastAsia="Times New Roman" w:hAnsi="Arial" w:cs="Arial"/>
          <w:color w:val="000000"/>
          <w:sz w:val="28"/>
          <w:szCs w:val="28"/>
          <w:lang w:val="en-JM"/>
        </w:rPr>
        <w:t xml:space="preserve"> from inflation, </w:t>
      </w:r>
      <w:r w:rsidR="00F930F8" w:rsidRPr="00B64388">
        <w:rPr>
          <w:rFonts w:ascii="Arial" w:eastAsia="Times New Roman" w:hAnsi="Arial" w:cs="Arial"/>
          <w:color w:val="000000"/>
          <w:sz w:val="28"/>
          <w:szCs w:val="28"/>
          <w:lang w:val="en-JM"/>
        </w:rPr>
        <w:t xml:space="preserve">tighter financial </w:t>
      </w:r>
      <w:r w:rsidR="004714EA" w:rsidRPr="00B64388">
        <w:rPr>
          <w:rFonts w:ascii="Arial" w:eastAsia="Times New Roman" w:hAnsi="Arial" w:cs="Arial"/>
          <w:color w:val="000000"/>
          <w:sz w:val="28"/>
          <w:szCs w:val="28"/>
          <w:lang w:val="en-JM"/>
        </w:rPr>
        <w:t xml:space="preserve"> </w:t>
      </w:r>
      <w:r w:rsidR="00F930F8" w:rsidRPr="00B64388">
        <w:rPr>
          <w:rFonts w:ascii="Arial" w:eastAsia="Times New Roman" w:hAnsi="Arial" w:cs="Arial"/>
          <w:color w:val="000000"/>
          <w:sz w:val="28"/>
          <w:szCs w:val="28"/>
          <w:lang w:val="en-JM"/>
        </w:rPr>
        <w:t xml:space="preserve">conditions </w:t>
      </w:r>
      <w:r w:rsidR="004714EA" w:rsidRPr="00B64388">
        <w:rPr>
          <w:rFonts w:ascii="Arial" w:eastAsia="Times New Roman" w:hAnsi="Arial" w:cs="Arial"/>
          <w:color w:val="000000"/>
          <w:sz w:val="28"/>
          <w:szCs w:val="28"/>
          <w:lang w:val="en-JM"/>
        </w:rPr>
        <w:t xml:space="preserve">and </w:t>
      </w:r>
      <w:r w:rsidR="001959E8" w:rsidRPr="00B64388">
        <w:rPr>
          <w:rFonts w:ascii="Arial" w:eastAsia="Times New Roman" w:hAnsi="Arial" w:cs="Arial"/>
          <w:color w:val="000000"/>
          <w:sz w:val="28"/>
          <w:szCs w:val="28"/>
          <w:lang w:val="en-JM"/>
        </w:rPr>
        <w:t xml:space="preserve">geopolitical tensions. More severe weather in the context of climate change also poses a downside risk to GDP growth. Finally, there is a risk that domestic consumption could be adversely affected by the high, albeit falling, domestic inflation. </w:t>
      </w:r>
    </w:p>
    <w:p w14:paraId="29FF37CF" w14:textId="77777777" w:rsidR="003F489F" w:rsidRPr="00B64388" w:rsidRDefault="003F489F" w:rsidP="00F37D76">
      <w:pPr>
        <w:spacing w:after="240" w:line="360" w:lineRule="auto"/>
        <w:jc w:val="both"/>
        <w:rPr>
          <w:rFonts w:ascii="Arial" w:eastAsia="Times New Roman" w:hAnsi="Arial" w:cs="Arial"/>
          <w:sz w:val="28"/>
          <w:szCs w:val="28"/>
          <w:lang w:val="en-JM"/>
        </w:rPr>
      </w:pPr>
      <w:r w:rsidRPr="00B64388">
        <w:rPr>
          <w:rFonts w:ascii="Arial" w:eastAsia="Times New Roman" w:hAnsi="Arial" w:cs="Arial"/>
          <w:b/>
          <w:bCs/>
          <w:color w:val="000000"/>
          <w:sz w:val="28"/>
          <w:szCs w:val="28"/>
          <w:lang w:val="en-JM"/>
        </w:rPr>
        <w:t>Other Developments</w:t>
      </w:r>
    </w:p>
    <w:p w14:paraId="3F0CCE80" w14:textId="77777777" w:rsidR="003F489F" w:rsidRPr="00B64388" w:rsidRDefault="003F489F" w:rsidP="00F37D76">
      <w:pPr>
        <w:spacing w:after="240" w:line="360" w:lineRule="auto"/>
        <w:ind w:firstLine="720"/>
        <w:jc w:val="both"/>
        <w:rPr>
          <w:rFonts w:ascii="Arial" w:eastAsia="Times New Roman" w:hAnsi="Arial" w:cs="Arial"/>
          <w:sz w:val="28"/>
          <w:szCs w:val="28"/>
          <w:lang w:val="en-JM"/>
        </w:rPr>
      </w:pPr>
      <w:r w:rsidRPr="00B64388">
        <w:rPr>
          <w:rFonts w:ascii="Arial" w:eastAsia="Times New Roman" w:hAnsi="Arial" w:cs="Arial"/>
          <w:color w:val="000000"/>
          <w:sz w:val="28"/>
          <w:szCs w:val="28"/>
          <w:lang w:val="en-JM"/>
        </w:rPr>
        <w:t> </w:t>
      </w:r>
      <w:r w:rsidR="007A289E" w:rsidRPr="00B64388">
        <w:rPr>
          <w:rFonts w:ascii="Arial" w:eastAsia="Times New Roman" w:hAnsi="Arial" w:cs="Arial"/>
          <w:color w:val="000000"/>
          <w:sz w:val="28"/>
          <w:szCs w:val="28"/>
          <w:lang w:val="en-JM"/>
        </w:rPr>
        <w:t>The</w:t>
      </w:r>
      <w:r w:rsidR="00FA34C0" w:rsidRPr="00B64388">
        <w:rPr>
          <w:rFonts w:ascii="Arial" w:eastAsia="Times New Roman" w:hAnsi="Arial" w:cs="Arial"/>
          <w:color w:val="000000"/>
          <w:sz w:val="28"/>
          <w:szCs w:val="28"/>
          <w:lang w:val="en-JM"/>
        </w:rPr>
        <w:t xml:space="preserve"> </w:t>
      </w:r>
      <w:r w:rsidRPr="00B64388">
        <w:rPr>
          <w:rFonts w:ascii="Arial" w:eastAsia="Times New Roman" w:hAnsi="Arial" w:cs="Arial"/>
          <w:color w:val="000000"/>
          <w:sz w:val="28"/>
          <w:szCs w:val="28"/>
          <w:lang w:val="en-JM"/>
        </w:rPr>
        <w:t xml:space="preserve">foreign exchange market has remained relatively stable, reflecting, in part, the actions taken by the Bank in response to the higher than targeted inflation. Notwithstanding these actions, at 17 </w:t>
      </w:r>
      <w:r w:rsidR="001959E8" w:rsidRPr="00B64388">
        <w:rPr>
          <w:rFonts w:ascii="Arial" w:eastAsia="Times New Roman" w:hAnsi="Arial" w:cs="Arial"/>
          <w:color w:val="000000"/>
          <w:sz w:val="28"/>
          <w:szCs w:val="28"/>
          <w:lang w:val="en-JM"/>
        </w:rPr>
        <w:t>August</w:t>
      </w:r>
      <w:r w:rsidRPr="00B64388">
        <w:rPr>
          <w:rFonts w:ascii="Arial" w:eastAsia="Times New Roman" w:hAnsi="Arial" w:cs="Arial"/>
          <w:color w:val="000000"/>
          <w:sz w:val="28"/>
          <w:szCs w:val="28"/>
          <w:lang w:val="en-JM"/>
        </w:rPr>
        <w:t xml:space="preserve"> 2022, Jamaica’s gross international reserves remained substantial, amounting to approximately US$4.</w:t>
      </w:r>
      <w:r w:rsidR="003768AF" w:rsidRPr="00B64388">
        <w:rPr>
          <w:rFonts w:ascii="Arial" w:eastAsia="Times New Roman" w:hAnsi="Arial" w:cs="Arial"/>
          <w:color w:val="000000"/>
          <w:sz w:val="28"/>
          <w:szCs w:val="28"/>
          <w:lang w:val="en-JM"/>
        </w:rPr>
        <w:t>3</w:t>
      </w:r>
      <w:r w:rsidRPr="00B64388">
        <w:rPr>
          <w:rFonts w:ascii="Arial" w:eastAsia="Times New Roman" w:hAnsi="Arial" w:cs="Arial"/>
          <w:color w:val="000000"/>
          <w:sz w:val="28"/>
          <w:szCs w:val="28"/>
          <w:lang w:val="en-JM"/>
        </w:rPr>
        <w:t xml:space="preserve"> billion. The Bank projects that the gross reserves will continue to remain adequate in the medium-term. </w:t>
      </w:r>
    </w:p>
    <w:p w14:paraId="695AD738" w14:textId="77777777" w:rsidR="003F489F" w:rsidRPr="00B64388" w:rsidRDefault="007A289E" w:rsidP="00F37D76">
      <w:pPr>
        <w:spacing w:after="240" w:line="360" w:lineRule="auto"/>
        <w:ind w:firstLine="720"/>
        <w:jc w:val="both"/>
        <w:rPr>
          <w:rFonts w:ascii="Arial" w:eastAsia="Times New Roman" w:hAnsi="Arial" w:cs="Arial"/>
          <w:sz w:val="28"/>
          <w:szCs w:val="28"/>
          <w:lang w:val="en-JM"/>
        </w:rPr>
      </w:pPr>
      <w:r w:rsidRPr="00B64388">
        <w:rPr>
          <w:rFonts w:ascii="Arial" w:eastAsia="Times New Roman" w:hAnsi="Arial" w:cs="Arial"/>
          <w:color w:val="000000"/>
          <w:sz w:val="28"/>
          <w:szCs w:val="28"/>
          <w:lang w:val="en-JM"/>
        </w:rPr>
        <w:t xml:space="preserve">The financial system </w:t>
      </w:r>
      <w:r w:rsidR="00B35CC1" w:rsidRPr="00B64388">
        <w:rPr>
          <w:rFonts w:ascii="Arial" w:eastAsia="Times New Roman" w:hAnsi="Arial" w:cs="Arial"/>
          <w:color w:val="000000"/>
          <w:sz w:val="28"/>
          <w:szCs w:val="28"/>
          <w:lang w:val="en-JM"/>
        </w:rPr>
        <w:t xml:space="preserve">remains </w:t>
      </w:r>
      <w:r w:rsidRPr="00B64388">
        <w:rPr>
          <w:rFonts w:ascii="Arial" w:eastAsia="Times New Roman" w:hAnsi="Arial" w:cs="Arial"/>
          <w:color w:val="000000"/>
          <w:sz w:val="28"/>
          <w:szCs w:val="28"/>
          <w:lang w:val="en-JM"/>
        </w:rPr>
        <w:t xml:space="preserve">resilient. </w:t>
      </w:r>
      <w:r w:rsidR="003F489F" w:rsidRPr="00B64388">
        <w:rPr>
          <w:rFonts w:ascii="Arial" w:eastAsia="Times New Roman" w:hAnsi="Arial" w:cs="Arial"/>
          <w:color w:val="000000"/>
          <w:sz w:val="28"/>
          <w:szCs w:val="28"/>
          <w:lang w:val="en-JM"/>
        </w:rPr>
        <w:t xml:space="preserve">The deposit-taking institutions’ (DTIs) balance sheets have remained adequately capitalized and in compliance with prudent liquidity standards. </w:t>
      </w:r>
      <w:r w:rsidRPr="00B64388">
        <w:rPr>
          <w:rFonts w:ascii="Arial" w:eastAsia="Times New Roman" w:hAnsi="Arial" w:cs="Arial"/>
          <w:color w:val="000000"/>
          <w:sz w:val="28"/>
          <w:szCs w:val="28"/>
          <w:lang w:val="en-JM"/>
        </w:rPr>
        <w:t xml:space="preserve">The quality of the DTIs’ loan portfolio remained stable with a ratio of non-performing loans (NPLs) to gross loans marginally </w:t>
      </w:r>
      <w:r w:rsidR="00B35CC1" w:rsidRPr="00B64388">
        <w:rPr>
          <w:rFonts w:ascii="Arial" w:eastAsia="Times New Roman" w:hAnsi="Arial" w:cs="Arial"/>
          <w:color w:val="000000"/>
          <w:sz w:val="28"/>
          <w:szCs w:val="28"/>
          <w:lang w:val="en-JM"/>
        </w:rPr>
        <w:t xml:space="preserve">better </w:t>
      </w:r>
      <w:r w:rsidRPr="00B64388">
        <w:rPr>
          <w:rFonts w:ascii="Arial" w:eastAsia="Times New Roman" w:hAnsi="Arial" w:cs="Arial"/>
          <w:color w:val="000000"/>
          <w:sz w:val="28"/>
          <w:szCs w:val="28"/>
          <w:lang w:val="en-JM"/>
        </w:rPr>
        <w:t>than that recorded a year earlier.</w:t>
      </w:r>
    </w:p>
    <w:p w14:paraId="5CFF6D90" w14:textId="77777777" w:rsidR="003F489F" w:rsidRPr="00B64388" w:rsidRDefault="003F489F" w:rsidP="00F37D76">
      <w:pPr>
        <w:spacing w:after="240" w:line="360" w:lineRule="auto"/>
        <w:ind w:firstLine="720"/>
        <w:jc w:val="both"/>
        <w:rPr>
          <w:rFonts w:ascii="Arial" w:eastAsia="Times New Roman" w:hAnsi="Arial" w:cs="Arial"/>
          <w:color w:val="000000"/>
          <w:sz w:val="28"/>
          <w:szCs w:val="28"/>
          <w:lang w:val="en-JM"/>
        </w:rPr>
      </w:pPr>
      <w:r w:rsidRPr="00B64388">
        <w:rPr>
          <w:rFonts w:ascii="Arial" w:eastAsia="Times New Roman" w:hAnsi="Arial" w:cs="Arial"/>
          <w:color w:val="000000"/>
          <w:sz w:val="28"/>
          <w:szCs w:val="28"/>
          <w:lang w:val="en-JM"/>
        </w:rPr>
        <w:t>Private sector credit provided by DTI’s has been growing but at a slow</w:t>
      </w:r>
      <w:r w:rsidR="003860B7" w:rsidRPr="00B64388">
        <w:rPr>
          <w:rFonts w:ascii="Arial" w:eastAsia="Times New Roman" w:hAnsi="Arial" w:cs="Arial"/>
          <w:color w:val="000000"/>
          <w:sz w:val="28"/>
          <w:szCs w:val="28"/>
          <w:lang w:val="en-JM"/>
        </w:rPr>
        <w:t>er</w:t>
      </w:r>
      <w:r w:rsidRPr="00B64388">
        <w:rPr>
          <w:rFonts w:ascii="Arial" w:eastAsia="Times New Roman" w:hAnsi="Arial" w:cs="Arial"/>
          <w:color w:val="000000"/>
          <w:sz w:val="28"/>
          <w:szCs w:val="28"/>
          <w:lang w:val="en-JM"/>
        </w:rPr>
        <w:t xml:space="preserve"> pace, reflecting the lagged effect of the pandemic </w:t>
      </w:r>
      <w:r w:rsidR="003768AF" w:rsidRPr="00B64388">
        <w:rPr>
          <w:rFonts w:ascii="Arial" w:eastAsia="Times New Roman" w:hAnsi="Arial" w:cs="Arial"/>
          <w:color w:val="000000"/>
          <w:sz w:val="28"/>
          <w:szCs w:val="28"/>
          <w:lang w:val="en-JM"/>
        </w:rPr>
        <w:t xml:space="preserve">and the effect of higher interest rates </w:t>
      </w:r>
      <w:r w:rsidRPr="00B64388">
        <w:rPr>
          <w:rFonts w:ascii="Arial" w:eastAsia="Times New Roman" w:hAnsi="Arial" w:cs="Arial"/>
          <w:color w:val="000000"/>
          <w:sz w:val="28"/>
          <w:szCs w:val="28"/>
          <w:lang w:val="en-JM"/>
        </w:rPr>
        <w:t>on credit demand</w:t>
      </w:r>
      <w:r w:rsidR="001258E9" w:rsidRPr="00B64388">
        <w:rPr>
          <w:rFonts w:ascii="Arial" w:eastAsia="Times New Roman" w:hAnsi="Arial" w:cs="Arial"/>
          <w:color w:val="000000"/>
          <w:sz w:val="28"/>
          <w:szCs w:val="28"/>
          <w:lang w:val="en-JM"/>
        </w:rPr>
        <w:t xml:space="preserve">, </w:t>
      </w:r>
      <w:r w:rsidRPr="00B64388">
        <w:rPr>
          <w:rFonts w:ascii="Arial" w:eastAsia="Times New Roman" w:hAnsi="Arial" w:cs="Arial"/>
          <w:color w:val="000000"/>
          <w:sz w:val="28"/>
          <w:szCs w:val="28"/>
          <w:lang w:val="en-JM"/>
        </w:rPr>
        <w:t>particularly from businesses. </w:t>
      </w:r>
    </w:p>
    <w:p w14:paraId="4E1B0E92" w14:textId="77777777" w:rsidR="003F489F" w:rsidRPr="00B64388" w:rsidRDefault="003F489F" w:rsidP="00F37D76">
      <w:pPr>
        <w:spacing w:after="240" w:line="360" w:lineRule="auto"/>
        <w:jc w:val="both"/>
        <w:rPr>
          <w:rFonts w:ascii="Arial" w:eastAsia="Times New Roman" w:hAnsi="Arial" w:cs="Arial"/>
          <w:sz w:val="28"/>
          <w:szCs w:val="28"/>
          <w:lang w:val="en-JM"/>
        </w:rPr>
      </w:pPr>
      <w:r w:rsidRPr="00B64388">
        <w:rPr>
          <w:rFonts w:ascii="Arial" w:eastAsia="Times New Roman" w:hAnsi="Arial" w:cs="Arial"/>
          <w:b/>
          <w:bCs/>
          <w:color w:val="000000"/>
          <w:sz w:val="28"/>
          <w:szCs w:val="28"/>
          <w:lang w:val="en-JM"/>
        </w:rPr>
        <w:t>Concluding Statement</w:t>
      </w:r>
    </w:p>
    <w:p w14:paraId="7F0AC808" w14:textId="77777777" w:rsidR="003F489F" w:rsidRPr="00B64388" w:rsidRDefault="003F489F" w:rsidP="00F37D76">
      <w:pPr>
        <w:spacing w:after="240" w:line="360" w:lineRule="auto"/>
        <w:ind w:right="182" w:firstLine="720"/>
        <w:jc w:val="both"/>
        <w:rPr>
          <w:rFonts w:ascii="Arial" w:eastAsia="Times New Roman" w:hAnsi="Arial" w:cs="Arial"/>
          <w:sz w:val="28"/>
          <w:szCs w:val="28"/>
          <w:lang w:val="en-JM"/>
        </w:rPr>
      </w:pPr>
      <w:r w:rsidRPr="00B64388">
        <w:rPr>
          <w:rFonts w:ascii="Arial" w:eastAsia="Times New Roman" w:hAnsi="Arial" w:cs="Arial"/>
          <w:color w:val="000000"/>
          <w:sz w:val="28"/>
          <w:szCs w:val="28"/>
          <w:lang w:val="en-JM"/>
        </w:rPr>
        <w:t xml:space="preserve">Ladies and gentlemen, I wish to reaffirm Bank of Jamaica’s </w:t>
      </w:r>
      <w:r w:rsidR="00432010" w:rsidRPr="00B64388">
        <w:rPr>
          <w:rFonts w:ascii="Arial" w:eastAsia="Times New Roman" w:hAnsi="Arial" w:cs="Arial"/>
          <w:color w:val="000000"/>
          <w:sz w:val="28"/>
          <w:szCs w:val="28"/>
          <w:lang w:val="en-JM"/>
        </w:rPr>
        <w:t>dedication to achieving its primary mandate of preserving price stability</w:t>
      </w:r>
      <w:r w:rsidR="0013571A" w:rsidRPr="00B64388">
        <w:rPr>
          <w:rFonts w:ascii="Arial" w:eastAsia="Times New Roman" w:hAnsi="Arial" w:cs="Arial"/>
          <w:color w:val="000000"/>
          <w:sz w:val="28"/>
          <w:szCs w:val="28"/>
          <w:lang w:val="en-JM"/>
        </w:rPr>
        <w:t>.</w:t>
      </w:r>
      <w:r w:rsidRPr="00B64388">
        <w:rPr>
          <w:rFonts w:ascii="Arial" w:eastAsia="Times New Roman" w:hAnsi="Arial" w:cs="Arial"/>
          <w:color w:val="000000"/>
          <w:sz w:val="28"/>
          <w:szCs w:val="28"/>
          <w:lang w:val="en-JM"/>
        </w:rPr>
        <w:t xml:space="preserve"> The Bank will continue to closely monitor the </w:t>
      </w:r>
      <w:r w:rsidR="00432010" w:rsidRPr="00B64388">
        <w:rPr>
          <w:rFonts w:ascii="Arial" w:eastAsia="Times New Roman" w:hAnsi="Arial" w:cs="Arial"/>
          <w:color w:val="000000"/>
          <w:sz w:val="28"/>
          <w:szCs w:val="28"/>
          <w:lang w:val="en-JM"/>
        </w:rPr>
        <w:t>global and domestic economic environment in this period of high uncertainty</w:t>
      </w:r>
      <w:r w:rsidR="005649D1" w:rsidRPr="00B64388">
        <w:rPr>
          <w:rFonts w:ascii="Arial" w:eastAsia="Times New Roman" w:hAnsi="Arial" w:cs="Arial"/>
          <w:color w:val="000000"/>
          <w:sz w:val="28"/>
          <w:szCs w:val="28"/>
          <w:lang w:val="en-JM"/>
        </w:rPr>
        <w:t xml:space="preserve"> </w:t>
      </w:r>
      <w:r w:rsidRPr="00B64388">
        <w:rPr>
          <w:rFonts w:ascii="Arial" w:eastAsia="Times New Roman" w:hAnsi="Arial" w:cs="Arial"/>
          <w:color w:val="000000"/>
          <w:sz w:val="28"/>
          <w:szCs w:val="28"/>
          <w:lang w:val="en-JM"/>
        </w:rPr>
        <w:t xml:space="preserve">and </w:t>
      </w:r>
      <w:r w:rsidR="00C2638B" w:rsidRPr="00B64388">
        <w:rPr>
          <w:rFonts w:ascii="Arial" w:eastAsia="Times New Roman" w:hAnsi="Arial" w:cs="Arial"/>
          <w:color w:val="000000"/>
          <w:sz w:val="28"/>
          <w:szCs w:val="28"/>
          <w:lang w:val="en-JM"/>
        </w:rPr>
        <w:t xml:space="preserve">is prepared to pause </w:t>
      </w:r>
      <w:r w:rsidR="009C57DB" w:rsidRPr="00B64388">
        <w:rPr>
          <w:rFonts w:ascii="Arial" w:eastAsia="Times New Roman" w:hAnsi="Arial" w:cs="Arial"/>
          <w:color w:val="000000"/>
          <w:sz w:val="28"/>
          <w:szCs w:val="28"/>
          <w:lang w:val="en-JM"/>
        </w:rPr>
        <w:t xml:space="preserve">its monetary policy tightening </w:t>
      </w:r>
      <w:r w:rsidR="006217D2" w:rsidRPr="00B64388">
        <w:rPr>
          <w:rFonts w:ascii="Arial" w:eastAsia="Times New Roman" w:hAnsi="Arial" w:cs="Arial"/>
          <w:color w:val="000000"/>
          <w:sz w:val="28"/>
          <w:szCs w:val="28"/>
          <w:lang w:val="en-JM"/>
        </w:rPr>
        <w:t xml:space="preserve">if incoming data continues to </w:t>
      </w:r>
      <w:r w:rsidR="00B35CC1" w:rsidRPr="00B64388">
        <w:rPr>
          <w:rFonts w:ascii="Arial" w:eastAsia="Times New Roman" w:hAnsi="Arial" w:cs="Arial"/>
          <w:color w:val="000000"/>
          <w:sz w:val="28"/>
          <w:szCs w:val="28"/>
          <w:lang w:val="en-JM"/>
        </w:rPr>
        <w:t>support such a decision.</w:t>
      </w:r>
    </w:p>
    <w:p w14:paraId="5BA8E8AB" w14:textId="77777777" w:rsidR="003F489F" w:rsidRPr="007D2EF9" w:rsidRDefault="003F489F" w:rsidP="00F37D76">
      <w:pPr>
        <w:spacing w:after="240" w:line="360" w:lineRule="auto"/>
        <w:ind w:firstLine="720"/>
        <w:jc w:val="both"/>
        <w:rPr>
          <w:rFonts w:ascii="Arial" w:eastAsia="Times New Roman" w:hAnsi="Arial" w:cs="Arial"/>
          <w:sz w:val="28"/>
          <w:szCs w:val="28"/>
          <w:lang w:val="en-JM"/>
        </w:rPr>
      </w:pPr>
      <w:r w:rsidRPr="00B64388">
        <w:rPr>
          <w:rFonts w:ascii="Arial" w:eastAsia="Times New Roman" w:hAnsi="Arial" w:cs="Arial"/>
          <w:color w:val="000000"/>
          <w:sz w:val="28"/>
          <w:szCs w:val="28"/>
          <w:lang w:val="en-JM"/>
        </w:rPr>
        <w:t>Thank you and I will now take questions.</w:t>
      </w:r>
    </w:p>
    <w:p w14:paraId="79F2DB6F" w14:textId="77777777" w:rsidR="004C4DF4" w:rsidRPr="007D2EF9" w:rsidRDefault="004C4DF4" w:rsidP="00F37D76">
      <w:pPr>
        <w:spacing w:after="0" w:line="360" w:lineRule="auto"/>
        <w:rPr>
          <w:rFonts w:ascii="Arial" w:hAnsi="Arial" w:cs="Arial"/>
          <w:sz w:val="28"/>
          <w:szCs w:val="28"/>
          <w:lang w:val="en-JM"/>
        </w:rPr>
      </w:pPr>
    </w:p>
    <w:sectPr w:rsidR="004C4DF4" w:rsidRPr="007D2EF9" w:rsidSect="00FB2934">
      <w:footerReference w:type="default" r:id="rId10"/>
      <w:pgSz w:w="12240" w:h="15840"/>
      <w:pgMar w:top="1440" w:right="2880" w:bottom="1440" w:left="28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E1EE4" w14:textId="77777777" w:rsidR="006563E2" w:rsidRDefault="006563E2" w:rsidP="007D2EF9">
      <w:pPr>
        <w:spacing w:after="0" w:line="240" w:lineRule="auto"/>
      </w:pPr>
      <w:r>
        <w:separator/>
      </w:r>
    </w:p>
  </w:endnote>
  <w:endnote w:type="continuationSeparator" w:id="0">
    <w:p w14:paraId="359B1165" w14:textId="77777777" w:rsidR="006563E2" w:rsidRDefault="006563E2" w:rsidP="007D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869341"/>
      <w:docPartObj>
        <w:docPartGallery w:val="Page Numbers (Bottom of Page)"/>
        <w:docPartUnique/>
      </w:docPartObj>
    </w:sdtPr>
    <w:sdtEndPr>
      <w:rPr>
        <w:noProof/>
      </w:rPr>
    </w:sdtEndPr>
    <w:sdtContent>
      <w:p w14:paraId="766A8350" w14:textId="11084942" w:rsidR="007D2EF9" w:rsidRDefault="007D2EF9">
        <w:pPr>
          <w:pStyle w:val="Footer"/>
          <w:jc w:val="right"/>
        </w:pPr>
        <w:r>
          <w:fldChar w:fldCharType="begin"/>
        </w:r>
        <w:r>
          <w:instrText xml:space="preserve"> PAGE   \* MERGEFORMAT </w:instrText>
        </w:r>
        <w:r>
          <w:fldChar w:fldCharType="separate"/>
        </w:r>
        <w:r w:rsidR="00670639">
          <w:rPr>
            <w:noProof/>
          </w:rPr>
          <w:t>2</w:t>
        </w:r>
        <w:r>
          <w:rPr>
            <w:noProof/>
          </w:rPr>
          <w:fldChar w:fldCharType="end"/>
        </w:r>
      </w:p>
    </w:sdtContent>
  </w:sdt>
  <w:p w14:paraId="6F3C905E" w14:textId="77777777" w:rsidR="007D2EF9" w:rsidRDefault="007D2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7C666" w14:textId="77777777" w:rsidR="006563E2" w:rsidRDefault="006563E2" w:rsidP="007D2EF9">
      <w:pPr>
        <w:spacing w:after="0" w:line="240" w:lineRule="auto"/>
      </w:pPr>
      <w:r>
        <w:separator/>
      </w:r>
    </w:p>
  </w:footnote>
  <w:footnote w:type="continuationSeparator" w:id="0">
    <w:p w14:paraId="32815756" w14:textId="77777777" w:rsidR="006563E2" w:rsidRDefault="006563E2" w:rsidP="007D2E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A20D9"/>
    <w:multiLevelType w:val="hybridMultilevel"/>
    <w:tmpl w:val="B37C0B48"/>
    <w:lvl w:ilvl="0" w:tplc="37ECA2BC">
      <w:numFmt w:val="bullet"/>
      <w:lvlText w:val=""/>
      <w:lvlJc w:val="left"/>
      <w:pPr>
        <w:ind w:left="1260" w:hanging="360"/>
      </w:pPr>
      <w:rPr>
        <w:rFonts w:ascii="Symbol" w:eastAsia="Symbol" w:hAnsi="Symbol" w:cs="Symbol" w:hint="default"/>
        <w:b w:val="0"/>
        <w:bCs w:val="0"/>
        <w:i w:val="0"/>
        <w:iCs w:val="0"/>
        <w:w w:val="100"/>
        <w:sz w:val="24"/>
        <w:szCs w:val="24"/>
        <w:lang w:val="en-US" w:eastAsia="en-US" w:bidi="ar-SA"/>
      </w:rPr>
    </w:lvl>
    <w:lvl w:ilvl="1" w:tplc="778E0902">
      <w:numFmt w:val="bullet"/>
      <w:lvlText w:val="•"/>
      <w:lvlJc w:val="left"/>
      <w:pPr>
        <w:ind w:left="2246" w:hanging="360"/>
      </w:pPr>
      <w:rPr>
        <w:rFonts w:hint="default"/>
        <w:lang w:val="en-US" w:eastAsia="en-US" w:bidi="ar-SA"/>
      </w:rPr>
    </w:lvl>
    <w:lvl w:ilvl="2" w:tplc="F3825BDA">
      <w:numFmt w:val="bullet"/>
      <w:lvlText w:val="•"/>
      <w:lvlJc w:val="left"/>
      <w:pPr>
        <w:ind w:left="3232" w:hanging="360"/>
      </w:pPr>
      <w:rPr>
        <w:rFonts w:hint="default"/>
        <w:lang w:val="en-US" w:eastAsia="en-US" w:bidi="ar-SA"/>
      </w:rPr>
    </w:lvl>
    <w:lvl w:ilvl="3" w:tplc="4378BB84">
      <w:numFmt w:val="bullet"/>
      <w:lvlText w:val="•"/>
      <w:lvlJc w:val="left"/>
      <w:pPr>
        <w:ind w:left="4218" w:hanging="360"/>
      </w:pPr>
      <w:rPr>
        <w:rFonts w:hint="default"/>
        <w:lang w:val="en-US" w:eastAsia="en-US" w:bidi="ar-SA"/>
      </w:rPr>
    </w:lvl>
    <w:lvl w:ilvl="4" w:tplc="3B92A2AE">
      <w:numFmt w:val="bullet"/>
      <w:lvlText w:val="•"/>
      <w:lvlJc w:val="left"/>
      <w:pPr>
        <w:ind w:left="5204" w:hanging="360"/>
      </w:pPr>
      <w:rPr>
        <w:rFonts w:hint="default"/>
        <w:lang w:val="en-US" w:eastAsia="en-US" w:bidi="ar-SA"/>
      </w:rPr>
    </w:lvl>
    <w:lvl w:ilvl="5" w:tplc="6D909D74">
      <w:numFmt w:val="bullet"/>
      <w:lvlText w:val="•"/>
      <w:lvlJc w:val="left"/>
      <w:pPr>
        <w:ind w:left="6190" w:hanging="360"/>
      </w:pPr>
      <w:rPr>
        <w:rFonts w:hint="default"/>
        <w:lang w:val="en-US" w:eastAsia="en-US" w:bidi="ar-SA"/>
      </w:rPr>
    </w:lvl>
    <w:lvl w:ilvl="6" w:tplc="104ECF00">
      <w:numFmt w:val="bullet"/>
      <w:lvlText w:val="•"/>
      <w:lvlJc w:val="left"/>
      <w:pPr>
        <w:ind w:left="7176" w:hanging="360"/>
      </w:pPr>
      <w:rPr>
        <w:rFonts w:hint="default"/>
        <w:lang w:val="en-US" w:eastAsia="en-US" w:bidi="ar-SA"/>
      </w:rPr>
    </w:lvl>
    <w:lvl w:ilvl="7" w:tplc="BA7A8D4E">
      <w:numFmt w:val="bullet"/>
      <w:lvlText w:val="•"/>
      <w:lvlJc w:val="left"/>
      <w:pPr>
        <w:ind w:left="8162" w:hanging="360"/>
      </w:pPr>
      <w:rPr>
        <w:rFonts w:hint="default"/>
        <w:lang w:val="en-US" w:eastAsia="en-US" w:bidi="ar-SA"/>
      </w:rPr>
    </w:lvl>
    <w:lvl w:ilvl="8" w:tplc="85F2362A">
      <w:numFmt w:val="bullet"/>
      <w:lvlText w:val="•"/>
      <w:lvlJc w:val="left"/>
      <w:pPr>
        <w:ind w:left="914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89F"/>
    <w:rsid w:val="00004A56"/>
    <w:rsid w:val="00017D71"/>
    <w:rsid w:val="00030C18"/>
    <w:rsid w:val="00031708"/>
    <w:rsid w:val="000540A7"/>
    <w:rsid w:val="00071DB0"/>
    <w:rsid w:val="000747FA"/>
    <w:rsid w:val="000819CD"/>
    <w:rsid w:val="000A480B"/>
    <w:rsid w:val="000B7E6B"/>
    <w:rsid w:val="000C54E0"/>
    <w:rsid w:val="000D19B5"/>
    <w:rsid w:val="000D30E1"/>
    <w:rsid w:val="000E1A79"/>
    <w:rsid w:val="000E3355"/>
    <w:rsid w:val="000F1047"/>
    <w:rsid w:val="000F74C6"/>
    <w:rsid w:val="00102994"/>
    <w:rsid w:val="0011646F"/>
    <w:rsid w:val="001258E9"/>
    <w:rsid w:val="00126459"/>
    <w:rsid w:val="00130DA4"/>
    <w:rsid w:val="0013571A"/>
    <w:rsid w:val="001458A4"/>
    <w:rsid w:val="001548AD"/>
    <w:rsid w:val="001556C9"/>
    <w:rsid w:val="00175C87"/>
    <w:rsid w:val="001829A3"/>
    <w:rsid w:val="001959E8"/>
    <w:rsid w:val="00197685"/>
    <w:rsid w:val="001B0C35"/>
    <w:rsid w:val="001B7F7C"/>
    <w:rsid w:val="001E35FD"/>
    <w:rsid w:val="001E7AF6"/>
    <w:rsid w:val="001F3872"/>
    <w:rsid w:val="00204EED"/>
    <w:rsid w:val="002211EA"/>
    <w:rsid w:val="00222E8C"/>
    <w:rsid w:val="002426AF"/>
    <w:rsid w:val="00266E3C"/>
    <w:rsid w:val="00270F84"/>
    <w:rsid w:val="00283453"/>
    <w:rsid w:val="00290687"/>
    <w:rsid w:val="002912FF"/>
    <w:rsid w:val="002D4B6B"/>
    <w:rsid w:val="002E4450"/>
    <w:rsid w:val="0032099C"/>
    <w:rsid w:val="00323585"/>
    <w:rsid w:val="003312A3"/>
    <w:rsid w:val="00343158"/>
    <w:rsid w:val="00346ACC"/>
    <w:rsid w:val="00372B4A"/>
    <w:rsid w:val="003766C2"/>
    <w:rsid w:val="003768AF"/>
    <w:rsid w:val="003860B7"/>
    <w:rsid w:val="00397023"/>
    <w:rsid w:val="003B6A6D"/>
    <w:rsid w:val="003C7557"/>
    <w:rsid w:val="003F0BA3"/>
    <w:rsid w:val="003F489F"/>
    <w:rsid w:val="0040410F"/>
    <w:rsid w:val="00404449"/>
    <w:rsid w:val="00414145"/>
    <w:rsid w:val="00432010"/>
    <w:rsid w:val="00436141"/>
    <w:rsid w:val="00450104"/>
    <w:rsid w:val="004714EA"/>
    <w:rsid w:val="00474895"/>
    <w:rsid w:val="00482572"/>
    <w:rsid w:val="00492428"/>
    <w:rsid w:val="00492A98"/>
    <w:rsid w:val="004C3D54"/>
    <w:rsid w:val="004C4DF4"/>
    <w:rsid w:val="004D3D12"/>
    <w:rsid w:val="004E374D"/>
    <w:rsid w:val="004F2020"/>
    <w:rsid w:val="00521B2B"/>
    <w:rsid w:val="005258C7"/>
    <w:rsid w:val="00530C44"/>
    <w:rsid w:val="00531659"/>
    <w:rsid w:val="0054132B"/>
    <w:rsid w:val="005649D1"/>
    <w:rsid w:val="00584C4F"/>
    <w:rsid w:val="00585A4B"/>
    <w:rsid w:val="00590E4B"/>
    <w:rsid w:val="0059639F"/>
    <w:rsid w:val="005972E7"/>
    <w:rsid w:val="005D20BB"/>
    <w:rsid w:val="005F56CD"/>
    <w:rsid w:val="006065F6"/>
    <w:rsid w:val="006146A3"/>
    <w:rsid w:val="006217D2"/>
    <w:rsid w:val="00630836"/>
    <w:rsid w:val="00631900"/>
    <w:rsid w:val="0063566D"/>
    <w:rsid w:val="006458DA"/>
    <w:rsid w:val="00650A1A"/>
    <w:rsid w:val="006563E2"/>
    <w:rsid w:val="00670639"/>
    <w:rsid w:val="006A566E"/>
    <w:rsid w:val="006B2858"/>
    <w:rsid w:val="006B46B6"/>
    <w:rsid w:val="006C3AD6"/>
    <w:rsid w:val="006D0DC1"/>
    <w:rsid w:val="006E4295"/>
    <w:rsid w:val="006F13B6"/>
    <w:rsid w:val="00705D39"/>
    <w:rsid w:val="00705D3F"/>
    <w:rsid w:val="00707DE5"/>
    <w:rsid w:val="007235BA"/>
    <w:rsid w:val="007372E9"/>
    <w:rsid w:val="00774285"/>
    <w:rsid w:val="00784595"/>
    <w:rsid w:val="007A289E"/>
    <w:rsid w:val="007A44ED"/>
    <w:rsid w:val="007B0028"/>
    <w:rsid w:val="007B1606"/>
    <w:rsid w:val="007B5F2B"/>
    <w:rsid w:val="007C23E9"/>
    <w:rsid w:val="007C59E9"/>
    <w:rsid w:val="007D2EF9"/>
    <w:rsid w:val="007D3C26"/>
    <w:rsid w:val="007F255E"/>
    <w:rsid w:val="007F5AC8"/>
    <w:rsid w:val="00802EA8"/>
    <w:rsid w:val="00814ABF"/>
    <w:rsid w:val="008219B8"/>
    <w:rsid w:val="00842C1C"/>
    <w:rsid w:val="00844A41"/>
    <w:rsid w:val="008453CA"/>
    <w:rsid w:val="00857644"/>
    <w:rsid w:val="008607B3"/>
    <w:rsid w:val="00883816"/>
    <w:rsid w:val="008841ED"/>
    <w:rsid w:val="0089032E"/>
    <w:rsid w:val="008A5E45"/>
    <w:rsid w:val="008A7C30"/>
    <w:rsid w:val="008C5D06"/>
    <w:rsid w:val="008E15FE"/>
    <w:rsid w:val="008F11BB"/>
    <w:rsid w:val="00902D39"/>
    <w:rsid w:val="00913B4A"/>
    <w:rsid w:val="00930146"/>
    <w:rsid w:val="009309C3"/>
    <w:rsid w:val="009332AF"/>
    <w:rsid w:val="00937428"/>
    <w:rsid w:val="00944C71"/>
    <w:rsid w:val="009541C5"/>
    <w:rsid w:val="009563D8"/>
    <w:rsid w:val="00961516"/>
    <w:rsid w:val="00974A73"/>
    <w:rsid w:val="0097700C"/>
    <w:rsid w:val="009A147B"/>
    <w:rsid w:val="009C370E"/>
    <w:rsid w:val="009C57DB"/>
    <w:rsid w:val="009D0D5B"/>
    <w:rsid w:val="009E2720"/>
    <w:rsid w:val="009F68E2"/>
    <w:rsid w:val="00A04987"/>
    <w:rsid w:val="00A049E8"/>
    <w:rsid w:val="00A1433B"/>
    <w:rsid w:val="00A17ABE"/>
    <w:rsid w:val="00A62012"/>
    <w:rsid w:val="00A665FD"/>
    <w:rsid w:val="00A713F3"/>
    <w:rsid w:val="00A822F6"/>
    <w:rsid w:val="00A8614B"/>
    <w:rsid w:val="00A92BFA"/>
    <w:rsid w:val="00A964CE"/>
    <w:rsid w:val="00AC0A06"/>
    <w:rsid w:val="00B00CAD"/>
    <w:rsid w:val="00B02DDD"/>
    <w:rsid w:val="00B07866"/>
    <w:rsid w:val="00B24706"/>
    <w:rsid w:val="00B34C6B"/>
    <w:rsid w:val="00B35CC1"/>
    <w:rsid w:val="00B4283E"/>
    <w:rsid w:val="00B430E7"/>
    <w:rsid w:val="00B43C1A"/>
    <w:rsid w:val="00B473DE"/>
    <w:rsid w:val="00B47DC8"/>
    <w:rsid w:val="00B50424"/>
    <w:rsid w:val="00B64388"/>
    <w:rsid w:val="00B85950"/>
    <w:rsid w:val="00B87CDE"/>
    <w:rsid w:val="00B900DC"/>
    <w:rsid w:val="00BB508F"/>
    <w:rsid w:val="00BC31A2"/>
    <w:rsid w:val="00BD016A"/>
    <w:rsid w:val="00BD19C9"/>
    <w:rsid w:val="00BF44DD"/>
    <w:rsid w:val="00C00BAC"/>
    <w:rsid w:val="00C2638B"/>
    <w:rsid w:val="00C34DD9"/>
    <w:rsid w:val="00C531F9"/>
    <w:rsid w:val="00C55C6E"/>
    <w:rsid w:val="00C74ADF"/>
    <w:rsid w:val="00C82309"/>
    <w:rsid w:val="00CA6BC5"/>
    <w:rsid w:val="00CB0F41"/>
    <w:rsid w:val="00CD068D"/>
    <w:rsid w:val="00CF5F80"/>
    <w:rsid w:val="00D05207"/>
    <w:rsid w:val="00D06799"/>
    <w:rsid w:val="00D2287F"/>
    <w:rsid w:val="00D60222"/>
    <w:rsid w:val="00D74AC9"/>
    <w:rsid w:val="00D76409"/>
    <w:rsid w:val="00D77637"/>
    <w:rsid w:val="00D813CB"/>
    <w:rsid w:val="00D82A5D"/>
    <w:rsid w:val="00DB0619"/>
    <w:rsid w:val="00DC6C09"/>
    <w:rsid w:val="00DD3CDE"/>
    <w:rsid w:val="00DE6173"/>
    <w:rsid w:val="00DF4669"/>
    <w:rsid w:val="00E04596"/>
    <w:rsid w:val="00E11E70"/>
    <w:rsid w:val="00E2189A"/>
    <w:rsid w:val="00E25C55"/>
    <w:rsid w:val="00E25DDD"/>
    <w:rsid w:val="00E26DC0"/>
    <w:rsid w:val="00E306C1"/>
    <w:rsid w:val="00E427A0"/>
    <w:rsid w:val="00E52DF2"/>
    <w:rsid w:val="00E54105"/>
    <w:rsid w:val="00E80D2D"/>
    <w:rsid w:val="00E8266C"/>
    <w:rsid w:val="00E82968"/>
    <w:rsid w:val="00E970CC"/>
    <w:rsid w:val="00E97402"/>
    <w:rsid w:val="00ED27C1"/>
    <w:rsid w:val="00EE0313"/>
    <w:rsid w:val="00EE2D77"/>
    <w:rsid w:val="00F028E2"/>
    <w:rsid w:val="00F05968"/>
    <w:rsid w:val="00F06747"/>
    <w:rsid w:val="00F131DE"/>
    <w:rsid w:val="00F2437E"/>
    <w:rsid w:val="00F250A9"/>
    <w:rsid w:val="00F3658C"/>
    <w:rsid w:val="00F37D76"/>
    <w:rsid w:val="00F41F77"/>
    <w:rsid w:val="00F4267F"/>
    <w:rsid w:val="00F82E51"/>
    <w:rsid w:val="00F91215"/>
    <w:rsid w:val="00F927AB"/>
    <w:rsid w:val="00F930F8"/>
    <w:rsid w:val="00FA34C0"/>
    <w:rsid w:val="00FB2934"/>
    <w:rsid w:val="00FB3E91"/>
    <w:rsid w:val="00FB4E66"/>
    <w:rsid w:val="00FC1CBB"/>
    <w:rsid w:val="00FD100B"/>
    <w:rsid w:val="00FF4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ACC"/>
    <w:rPr>
      <w:rFonts w:ascii="Segoe UI" w:hAnsi="Segoe UI" w:cs="Segoe UI"/>
      <w:sz w:val="18"/>
      <w:szCs w:val="18"/>
    </w:rPr>
  </w:style>
  <w:style w:type="character" w:styleId="CommentReference">
    <w:name w:val="annotation reference"/>
    <w:basedOn w:val="DefaultParagraphFont"/>
    <w:uiPriority w:val="99"/>
    <w:semiHidden/>
    <w:unhideWhenUsed/>
    <w:rsid w:val="0059639F"/>
    <w:rPr>
      <w:sz w:val="16"/>
      <w:szCs w:val="16"/>
    </w:rPr>
  </w:style>
  <w:style w:type="paragraph" w:styleId="CommentText">
    <w:name w:val="annotation text"/>
    <w:basedOn w:val="Normal"/>
    <w:link w:val="CommentTextChar"/>
    <w:uiPriority w:val="99"/>
    <w:semiHidden/>
    <w:unhideWhenUsed/>
    <w:rsid w:val="0059639F"/>
    <w:pPr>
      <w:spacing w:line="240" w:lineRule="auto"/>
    </w:pPr>
    <w:rPr>
      <w:sz w:val="20"/>
      <w:szCs w:val="20"/>
    </w:rPr>
  </w:style>
  <w:style w:type="character" w:customStyle="1" w:styleId="CommentTextChar">
    <w:name w:val="Comment Text Char"/>
    <w:basedOn w:val="DefaultParagraphFont"/>
    <w:link w:val="CommentText"/>
    <w:uiPriority w:val="99"/>
    <w:semiHidden/>
    <w:rsid w:val="0059639F"/>
    <w:rPr>
      <w:sz w:val="20"/>
      <w:szCs w:val="20"/>
    </w:rPr>
  </w:style>
  <w:style w:type="paragraph" w:styleId="CommentSubject">
    <w:name w:val="annotation subject"/>
    <w:basedOn w:val="CommentText"/>
    <w:next w:val="CommentText"/>
    <w:link w:val="CommentSubjectChar"/>
    <w:uiPriority w:val="99"/>
    <w:semiHidden/>
    <w:unhideWhenUsed/>
    <w:rsid w:val="0059639F"/>
    <w:rPr>
      <w:b/>
      <w:bCs/>
    </w:rPr>
  </w:style>
  <w:style w:type="character" w:customStyle="1" w:styleId="CommentSubjectChar">
    <w:name w:val="Comment Subject Char"/>
    <w:basedOn w:val="CommentTextChar"/>
    <w:link w:val="CommentSubject"/>
    <w:uiPriority w:val="99"/>
    <w:semiHidden/>
    <w:rsid w:val="0059639F"/>
    <w:rPr>
      <w:b/>
      <w:bCs/>
      <w:sz w:val="20"/>
      <w:szCs w:val="20"/>
    </w:rPr>
  </w:style>
  <w:style w:type="paragraph" w:styleId="Revision">
    <w:name w:val="Revision"/>
    <w:hidden/>
    <w:uiPriority w:val="99"/>
    <w:semiHidden/>
    <w:rsid w:val="0059639F"/>
    <w:pPr>
      <w:spacing w:after="0" w:line="240" w:lineRule="auto"/>
    </w:pPr>
  </w:style>
  <w:style w:type="paragraph" w:styleId="ListParagraph">
    <w:name w:val="List Paragraph"/>
    <w:basedOn w:val="Normal"/>
    <w:uiPriority w:val="1"/>
    <w:qFormat/>
    <w:rsid w:val="00B900DC"/>
    <w:pPr>
      <w:widowControl w:val="0"/>
      <w:autoSpaceDE w:val="0"/>
      <w:autoSpaceDN w:val="0"/>
      <w:spacing w:after="0" w:line="240" w:lineRule="auto"/>
      <w:ind w:left="900" w:hanging="721"/>
      <w:jc w:val="both"/>
    </w:pPr>
    <w:rPr>
      <w:rFonts w:ascii="Times New Roman" w:eastAsia="Times New Roman" w:hAnsi="Times New Roman" w:cs="Times New Roman"/>
    </w:rPr>
  </w:style>
  <w:style w:type="paragraph" w:styleId="Header">
    <w:name w:val="header"/>
    <w:basedOn w:val="Normal"/>
    <w:link w:val="HeaderChar"/>
    <w:uiPriority w:val="99"/>
    <w:unhideWhenUsed/>
    <w:rsid w:val="007D2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EF9"/>
  </w:style>
  <w:style w:type="paragraph" w:styleId="Footer">
    <w:name w:val="footer"/>
    <w:basedOn w:val="Normal"/>
    <w:link w:val="FooterChar"/>
    <w:uiPriority w:val="99"/>
    <w:unhideWhenUsed/>
    <w:rsid w:val="007D2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ACC"/>
    <w:rPr>
      <w:rFonts w:ascii="Segoe UI" w:hAnsi="Segoe UI" w:cs="Segoe UI"/>
      <w:sz w:val="18"/>
      <w:szCs w:val="18"/>
    </w:rPr>
  </w:style>
  <w:style w:type="character" w:styleId="CommentReference">
    <w:name w:val="annotation reference"/>
    <w:basedOn w:val="DefaultParagraphFont"/>
    <w:uiPriority w:val="99"/>
    <w:semiHidden/>
    <w:unhideWhenUsed/>
    <w:rsid w:val="0059639F"/>
    <w:rPr>
      <w:sz w:val="16"/>
      <w:szCs w:val="16"/>
    </w:rPr>
  </w:style>
  <w:style w:type="paragraph" w:styleId="CommentText">
    <w:name w:val="annotation text"/>
    <w:basedOn w:val="Normal"/>
    <w:link w:val="CommentTextChar"/>
    <w:uiPriority w:val="99"/>
    <w:semiHidden/>
    <w:unhideWhenUsed/>
    <w:rsid w:val="0059639F"/>
    <w:pPr>
      <w:spacing w:line="240" w:lineRule="auto"/>
    </w:pPr>
    <w:rPr>
      <w:sz w:val="20"/>
      <w:szCs w:val="20"/>
    </w:rPr>
  </w:style>
  <w:style w:type="character" w:customStyle="1" w:styleId="CommentTextChar">
    <w:name w:val="Comment Text Char"/>
    <w:basedOn w:val="DefaultParagraphFont"/>
    <w:link w:val="CommentText"/>
    <w:uiPriority w:val="99"/>
    <w:semiHidden/>
    <w:rsid w:val="0059639F"/>
    <w:rPr>
      <w:sz w:val="20"/>
      <w:szCs w:val="20"/>
    </w:rPr>
  </w:style>
  <w:style w:type="paragraph" w:styleId="CommentSubject">
    <w:name w:val="annotation subject"/>
    <w:basedOn w:val="CommentText"/>
    <w:next w:val="CommentText"/>
    <w:link w:val="CommentSubjectChar"/>
    <w:uiPriority w:val="99"/>
    <w:semiHidden/>
    <w:unhideWhenUsed/>
    <w:rsid w:val="0059639F"/>
    <w:rPr>
      <w:b/>
      <w:bCs/>
    </w:rPr>
  </w:style>
  <w:style w:type="character" w:customStyle="1" w:styleId="CommentSubjectChar">
    <w:name w:val="Comment Subject Char"/>
    <w:basedOn w:val="CommentTextChar"/>
    <w:link w:val="CommentSubject"/>
    <w:uiPriority w:val="99"/>
    <w:semiHidden/>
    <w:rsid w:val="0059639F"/>
    <w:rPr>
      <w:b/>
      <w:bCs/>
      <w:sz w:val="20"/>
      <w:szCs w:val="20"/>
    </w:rPr>
  </w:style>
  <w:style w:type="paragraph" w:styleId="Revision">
    <w:name w:val="Revision"/>
    <w:hidden/>
    <w:uiPriority w:val="99"/>
    <w:semiHidden/>
    <w:rsid w:val="0059639F"/>
    <w:pPr>
      <w:spacing w:after="0" w:line="240" w:lineRule="auto"/>
    </w:pPr>
  </w:style>
  <w:style w:type="paragraph" w:styleId="ListParagraph">
    <w:name w:val="List Paragraph"/>
    <w:basedOn w:val="Normal"/>
    <w:uiPriority w:val="1"/>
    <w:qFormat/>
    <w:rsid w:val="00B900DC"/>
    <w:pPr>
      <w:widowControl w:val="0"/>
      <w:autoSpaceDE w:val="0"/>
      <w:autoSpaceDN w:val="0"/>
      <w:spacing w:after="0" w:line="240" w:lineRule="auto"/>
      <w:ind w:left="900" w:hanging="721"/>
      <w:jc w:val="both"/>
    </w:pPr>
    <w:rPr>
      <w:rFonts w:ascii="Times New Roman" w:eastAsia="Times New Roman" w:hAnsi="Times New Roman" w:cs="Times New Roman"/>
    </w:rPr>
  </w:style>
  <w:style w:type="paragraph" w:styleId="Header">
    <w:name w:val="header"/>
    <w:basedOn w:val="Normal"/>
    <w:link w:val="HeaderChar"/>
    <w:uiPriority w:val="99"/>
    <w:unhideWhenUsed/>
    <w:rsid w:val="007D2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EF9"/>
  </w:style>
  <w:style w:type="paragraph" w:styleId="Footer">
    <w:name w:val="footer"/>
    <w:basedOn w:val="Normal"/>
    <w:link w:val="FooterChar"/>
    <w:uiPriority w:val="99"/>
    <w:unhideWhenUsed/>
    <w:rsid w:val="007D2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96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52B9D-C6A1-466D-A52A-C74CF0A3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 Unit</dc:creator>
  <cp:lastModifiedBy>User</cp:lastModifiedBy>
  <cp:revision>2</cp:revision>
  <cp:lastPrinted>2022-08-19T14:21:00Z</cp:lastPrinted>
  <dcterms:created xsi:type="dcterms:W3CDTF">2022-08-24T20:22:00Z</dcterms:created>
  <dcterms:modified xsi:type="dcterms:W3CDTF">2022-08-24T20:22:00Z</dcterms:modified>
</cp:coreProperties>
</file>